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08" w:rsidRDefault="00CD31E7" w:rsidP="00B33708">
      <w:pPr>
        <w:pStyle w:val="Nadpis1"/>
        <w:jc w:val="center"/>
        <w:rPr>
          <w:rStyle w:val="Siln"/>
          <w:rFonts w:asciiTheme="minorHAnsi" w:hAnsiTheme="minorHAnsi" w:cstheme="minorHAnsi"/>
          <w:color w:val="808080" w:themeColor="background1" w:themeShade="80"/>
        </w:rPr>
      </w:pPr>
      <w:r w:rsidRPr="00735714">
        <w:rPr>
          <w:rStyle w:val="Siln"/>
          <w:rFonts w:asciiTheme="minorHAnsi" w:hAnsiTheme="minorHAnsi" w:cstheme="minorHAnsi"/>
          <w:color w:val="808080" w:themeColor="background1" w:themeShade="80"/>
        </w:rPr>
        <w:t>T</w:t>
      </w:r>
      <w:r w:rsidR="00DB33D3" w:rsidRPr="00735714">
        <w:rPr>
          <w:rStyle w:val="Siln"/>
          <w:rFonts w:asciiTheme="minorHAnsi" w:hAnsiTheme="minorHAnsi" w:cstheme="minorHAnsi"/>
          <w:color w:val="808080" w:themeColor="background1" w:themeShade="80"/>
        </w:rPr>
        <w:t>ISKOVÁ ZPRÁVA</w:t>
      </w:r>
    </w:p>
    <w:p w:rsidR="00735714" w:rsidRPr="00735714" w:rsidRDefault="00735714" w:rsidP="00735714"/>
    <w:p w:rsidR="00FB1F2C" w:rsidRDefault="00FB1F2C" w:rsidP="00FB1F2C">
      <w:pPr>
        <w:pStyle w:val="Nadpis2"/>
        <w:shd w:val="clear" w:color="auto" w:fill="FFFFFF"/>
        <w:spacing w:before="0" w:after="120"/>
        <w:rPr>
          <w:rFonts w:ascii="Arial" w:hAnsi="Arial" w:cs="Arial"/>
          <w:color w:val="333333"/>
          <w:sz w:val="27"/>
          <w:szCs w:val="27"/>
        </w:rPr>
      </w:pPr>
      <w:r>
        <w:rPr>
          <w:rFonts w:ascii="Arial" w:hAnsi="Arial" w:cs="Arial"/>
          <w:color w:val="333333"/>
          <w:sz w:val="27"/>
          <w:szCs w:val="27"/>
        </w:rPr>
        <w:t>Konsolidace úvěrů: vybírejte jen bezpečné poskytovatele, stejně jako u úvěrů samotných</w:t>
      </w:r>
      <w:r>
        <w:rPr>
          <w:rFonts w:ascii="Arial" w:hAnsi="Arial" w:cs="Arial"/>
          <w:color w:val="333333"/>
          <w:sz w:val="27"/>
          <w:szCs w:val="27"/>
        </w:rPr>
        <w:t xml:space="preserve"> </w:t>
      </w:r>
    </w:p>
    <w:p w:rsidR="007415AA" w:rsidRPr="00724460" w:rsidRDefault="007415AA" w:rsidP="007415AA">
      <w:pPr>
        <w:jc w:val="center"/>
        <w:rPr>
          <w:rFonts w:asciiTheme="minorHAnsi" w:hAnsiTheme="minorHAnsi" w:cstheme="minorHAnsi"/>
          <w:b/>
          <w:bCs/>
          <w:kern w:val="32"/>
          <w:sz w:val="40"/>
          <w:szCs w:val="32"/>
        </w:rPr>
      </w:pPr>
    </w:p>
    <w:p w:rsidR="00724460" w:rsidRPr="00735714" w:rsidRDefault="00724460" w:rsidP="00B33708">
      <w:pPr>
        <w:rPr>
          <w:rFonts w:asciiTheme="minorHAnsi" w:hAnsiTheme="minorHAnsi" w:cstheme="minorHAnsi"/>
        </w:rPr>
      </w:pPr>
    </w:p>
    <w:p w:rsidR="00FB1F2C" w:rsidRPr="00FB1F2C" w:rsidRDefault="00B33708" w:rsidP="00FB1F2C">
      <w:pPr>
        <w:pStyle w:val="Normlnweb"/>
        <w:shd w:val="clear" w:color="auto" w:fill="FFFFFF"/>
        <w:spacing w:before="0" w:beforeAutospacing="0" w:after="240" w:afterAutospacing="0" w:line="345" w:lineRule="atLeast"/>
        <w:jc w:val="both"/>
        <w:rPr>
          <w:rFonts w:ascii="Arial" w:hAnsi="Arial" w:cs="Arial"/>
          <w:color w:val="555555"/>
          <w:sz w:val="20"/>
          <w:szCs w:val="20"/>
        </w:rPr>
      </w:pPr>
      <w:r w:rsidRPr="00735714">
        <w:rPr>
          <w:rFonts w:asciiTheme="minorHAnsi" w:hAnsiTheme="minorHAnsi" w:cstheme="minorHAnsi"/>
          <w:sz w:val="22"/>
          <w:szCs w:val="22"/>
        </w:rPr>
        <w:t xml:space="preserve">Praha </w:t>
      </w:r>
      <w:r w:rsidR="00FB1F2C">
        <w:rPr>
          <w:rFonts w:asciiTheme="minorHAnsi" w:hAnsiTheme="minorHAnsi" w:cstheme="minorHAnsi"/>
          <w:sz w:val="22"/>
          <w:szCs w:val="22"/>
        </w:rPr>
        <w:t>8</w:t>
      </w:r>
      <w:r w:rsidR="00727C83">
        <w:rPr>
          <w:rFonts w:asciiTheme="minorHAnsi" w:hAnsiTheme="minorHAnsi" w:cstheme="minorHAnsi"/>
          <w:sz w:val="22"/>
          <w:szCs w:val="22"/>
        </w:rPr>
        <w:t xml:space="preserve">. </w:t>
      </w:r>
      <w:r w:rsidR="007E0178">
        <w:rPr>
          <w:rFonts w:asciiTheme="minorHAnsi" w:hAnsiTheme="minorHAnsi" w:cstheme="minorHAnsi"/>
          <w:sz w:val="22"/>
          <w:szCs w:val="22"/>
        </w:rPr>
        <w:t xml:space="preserve">prosince </w:t>
      </w:r>
      <w:r w:rsidR="00727C83">
        <w:rPr>
          <w:rFonts w:asciiTheme="minorHAnsi" w:hAnsiTheme="minorHAnsi" w:cstheme="minorHAnsi"/>
          <w:sz w:val="22"/>
          <w:szCs w:val="22"/>
        </w:rPr>
        <w:t xml:space="preserve">2014 </w:t>
      </w:r>
      <w:r w:rsidR="00FB1F2C" w:rsidRPr="00FB1F2C">
        <w:rPr>
          <w:rFonts w:ascii="Arial" w:hAnsi="Arial" w:cs="Arial"/>
          <w:b/>
          <w:bCs/>
          <w:color w:val="555555"/>
          <w:sz w:val="20"/>
          <w:szCs w:val="20"/>
        </w:rPr>
        <w:t>Zatímco tradiční spotřebitelský úvěr a jeho úskalí jsou pro spotřebitele stále srozumitelnější, některé „vedlejší“ produkty jsou opomíjené a při jejich výběru či uzavírání nejsou spotřebitelé opatrní. Příkladem může být konsolida</w:t>
      </w:r>
      <w:bookmarkStart w:id="0" w:name="_GoBack"/>
      <w:bookmarkEnd w:id="0"/>
      <w:r w:rsidR="00FB1F2C" w:rsidRPr="00FB1F2C">
        <w:rPr>
          <w:rFonts w:ascii="Arial" w:hAnsi="Arial" w:cs="Arial"/>
          <w:b/>
          <w:bCs/>
          <w:color w:val="555555"/>
          <w:sz w:val="20"/>
          <w:szCs w:val="20"/>
        </w:rPr>
        <w:t>ce úvěrů. Ačkoli se může jednat o užitečný nástroj, který fakticky vede k úspoře, spotřebitelé si často neuvědomují, že se jedná o jinou formu úvěru a při pořizování by proto měli být stejně obezřetní a konsolidaci přijmout jen od bezpečných poskytovatelů úvěrů.</w:t>
      </w:r>
    </w:p>
    <w:p w:rsidR="00FB1F2C" w:rsidRPr="00FB1F2C" w:rsidRDefault="00FB1F2C" w:rsidP="00FB1F2C">
      <w:pPr>
        <w:shd w:val="clear" w:color="auto" w:fill="FFFFFF"/>
        <w:spacing w:after="240" w:line="345" w:lineRule="atLeast"/>
        <w:jc w:val="both"/>
        <w:rPr>
          <w:rFonts w:ascii="Arial" w:hAnsi="Arial" w:cs="Arial"/>
          <w:color w:val="555555"/>
          <w:sz w:val="20"/>
        </w:rPr>
      </w:pPr>
      <w:r w:rsidRPr="00FB1F2C">
        <w:rPr>
          <w:rFonts w:ascii="Arial" w:hAnsi="Arial" w:cs="Arial"/>
          <w:i/>
          <w:iCs/>
          <w:color w:val="555555"/>
          <w:sz w:val="20"/>
        </w:rPr>
        <w:t>„Jak se ukazuje z praxe, lidé ve snaze ušetřit zapomínají na pravidla výběru bezpečného poskytovatele. V tu chvíli mnohdy přistupují na nabídky od neseriózních poskytovatelů, které sice na první pohled vypadají lákavě, ale ve výsledku rozhodně nepomohou,“</w:t>
      </w:r>
      <w:r w:rsidRPr="00FB1F2C">
        <w:rPr>
          <w:rFonts w:ascii="Arial" w:hAnsi="Arial" w:cs="Arial"/>
          <w:color w:val="555555"/>
          <w:sz w:val="20"/>
        </w:rPr>
        <w:t xml:space="preserve"> uvádí problematiku profesor Michael Mejstřík z Univerzity Karlovy. Upozorňuje tím na fakt, že mnoho lidí si neuvědomí, že konsolidace úvěrů je také úvěr a při výběru toho, kdo tento produkt poskytne, je potřeba vybírat stejně pečlivě, jako v případě samotného úvěru. I zde platí, že smlouvu o konsolidaci uzavřu jen s takovým poskytovatelem, u kterého jsem si jistý, že se řadí mezi bezpečné finanční instituce, ať již mezi bankami, nebo mezi značkovými </w:t>
      </w:r>
      <w:proofErr w:type="spellStart"/>
      <w:r w:rsidRPr="00FB1F2C">
        <w:rPr>
          <w:rFonts w:ascii="Arial" w:hAnsi="Arial" w:cs="Arial"/>
          <w:color w:val="555555"/>
          <w:sz w:val="20"/>
        </w:rPr>
        <w:t>nebankami</w:t>
      </w:r>
      <w:proofErr w:type="spellEnd"/>
      <w:r w:rsidRPr="00FB1F2C">
        <w:rPr>
          <w:rFonts w:ascii="Arial" w:hAnsi="Arial" w:cs="Arial"/>
          <w:color w:val="555555"/>
          <w:sz w:val="20"/>
        </w:rPr>
        <w:t>.</w:t>
      </w:r>
    </w:p>
    <w:p w:rsidR="00FB1F2C" w:rsidRPr="00FB1F2C" w:rsidRDefault="00FB1F2C" w:rsidP="00FB1F2C">
      <w:pPr>
        <w:shd w:val="clear" w:color="auto" w:fill="FFFFFF"/>
        <w:spacing w:after="240" w:line="345" w:lineRule="atLeast"/>
        <w:jc w:val="both"/>
        <w:rPr>
          <w:rFonts w:ascii="Arial" w:hAnsi="Arial" w:cs="Arial"/>
          <w:color w:val="555555"/>
          <w:sz w:val="20"/>
        </w:rPr>
      </w:pPr>
      <w:r w:rsidRPr="00FB1F2C">
        <w:rPr>
          <w:rFonts w:ascii="Arial" w:hAnsi="Arial" w:cs="Arial"/>
          <w:i/>
          <w:iCs/>
          <w:color w:val="555555"/>
          <w:sz w:val="20"/>
        </w:rPr>
        <w:t>„Známe případy, kdy spotřebitel konsolidací úvěru řešil starší nevýhodný úvěr, který si vzal u společnosti, kterou řadíme do šedé zóny. Chtěl tím vyřešit rizika tohoto úvěru a také snížit jeho cenu. Namísto promyšlené a opatrné konsolidace ale využil služeb lichvářů, a problém si tak znásobil,“</w:t>
      </w:r>
      <w:r w:rsidRPr="00FB1F2C">
        <w:rPr>
          <w:rFonts w:ascii="Arial" w:hAnsi="Arial" w:cs="Arial"/>
          <w:color w:val="555555"/>
          <w:sz w:val="20"/>
        </w:rPr>
        <w:t> dodává profesor Mejstřík. Podle něj je nutné, aby spotřebitelé využívali nabídky na konsolidace podle stejných pravidel, která dlouhodobě platí pro samotné úvěry. Poskytovatel by tedy měl být zařazen mezi bezpečné společnosti – využít lze například Studie Navigátor bezpečného úvěru, která obsahuje seznam bezpečných poskytovatelů. Smlouva o konsolidaci by měla být stručná a srozumitelná. Smlouvu by si měl spotřebitel důkladně pročíst, případně vzít domů na prostudování. Rozhodně by ji neměl podepisovat ve spěchu a pod tlakem, naopak by se měl zaměřit nejen na cenu za konsolidaci (včetně všech možných poplatků), ale také na případné sankce, možnosti předčasného splacení a podobně. Uvědomit by si měl také to, o kolik se mu prodlouží doba splácení. </w:t>
      </w:r>
      <w:r w:rsidRPr="00FB1F2C">
        <w:rPr>
          <w:rFonts w:ascii="Arial" w:hAnsi="Arial" w:cs="Arial"/>
          <w:i/>
          <w:iCs/>
          <w:color w:val="555555"/>
          <w:sz w:val="20"/>
        </w:rPr>
        <w:t>„Cena měsíční splátky by neměla být jediným faktorem pro rozhodování o konsolidaci, ačkoli její výše je nejčastějším důvodem, proč ji spotřebitelé využívají – ve většině případů jim jde totiž o snížení měsíční zátěže na rodinné finance,“</w:t>
      </w:r>
      <w:r w:rsidRPr="00FB1F2C">
        <w:rPr>
          <w:rFonts w:ascii="Arial" w:hAnsi="Arial" w:cs="Arial"/>
          <w:color w:val="555555"/>
          <w:sz w:val="20"/>
        </w:rPr>
        <w:t> říká profesor Mejstřík. Jak dodává, konsolidace úvěrů může být dobrý nástroj jak se vymanit ze spárů šedé zóny či lichvářů a využít nabídky stabilního a bezpečného poskytovatele úvěru.</w:t>
      </w:r>
    </w:p>
    <w:p w:rsidR="00FB1F2C" w:rsidRPr="00FB1F2C" w:rsidRDefault="00FB1F2C" w:rsidP="00FB1F2C">
      <w:pPr>
        <w:shd w:val="clear" w:color="auto" w:fill="FFFFFF"/>
        <w:spacing w:after="240" w:line="345" w:lineRule="atLeast"/>
        <w:jc w:val="both"/>
        <w:rPr>
          <w:rFonts w:ascii="Arial" w:hAnsi="Arial" w:cs="Arial"/>
          <w:color w:val="555555"/>
          <w:sz w:val="20"/>
        </w:rPr>
      </w:pPr>
      <w:r w:rsidRPr="00FB1F2C">
        <w:rPr>
          <w:rFonts w:ascii="Arial" w:hAnsi="Arial" w:cs="Arial"/>
          <w:b/>
          <w:bCs/>
          <w:color w:val="555555"/>
          <w:sz w:val="20"/>
        </w:rPr>
        <w:t>Lidé konsolidaci znají, ale ne vždy ji umí použít</w:t>
      </w:r>
    </w:p>
    <w:p w:rsidR="00FB1F2C" w:rsidRPr="00FB1F2C" w:rsidRDefault="00FB1F2C" w:rsidP="00FB1F2C">
      <w:pPr>
        <w:shd w:val="clear" w:color="auto" w:fill="FFFFFF"/>
        <w:spacing w:after="240" w:line="345" w:lineRule="atLeast"/>
        <w:jc w:val="both"/>
        <w:rPr>
          <w:rFonts w:ascii="Arial" w:hAnsi="Arial" w:cs="Arial"/>
          <w:color w:val="555555"/>
          <w:sz w:val="20"/>
        </w:rPr>
      </w:pPr>
      <w:r w:rsidRPr="00FB1F2C">
        <w:rPr>
          <w:rFonts w:ascii="Arial" w:hAnsi="Arial" w:cs="Arial"/>
          <w:color w:val="555555"/>
          <w:sz w:val="20"/>
        </w:rPr>
        <w:lastRenderedPageBreak/>
        <w:t>Navigátor bezpečného úvěru realizoval ve spolupráci se společností STEM/MARK průzkum veřejného mínění. Ten ukázal, že pojem konsolidace je mezi spotřebiteli obecně známý (ví o něm 80 %), a že přibližně 13 % spotřebitelů tohoto institutu v posledních 3 letech využilo. Nejčastější výše konsolidovaných úvěrů byla nad 200 tisíc korun (44 %), shodně 28 % konsolidovaných úvěrů bylo ve výši do 100 a do 200 tisíc korun.</w:t>
      </w:r>
    </w:p>
    <w:p w:rsidR="00FB1F2C" w:rsidRPr="00FB1F2C" w:rsidRDefault="00FB1F2C" w:rsidP="00FB1F2C">
      <w:pPr>
        <w:shd w:val="clear" w:color="auto" w:fill="FFFFFF"/>
        <w:spacing w:after="240" w:line="345" w:lineRule="atLeast"/>
        <w:jc w:val="both"/>
        <w:rPr>
          <w:rFonts w:ascii="Arial" w:hAnsi="Arial" w:cs="Arial"/>
          <w:color w:val="555555"/>
          <w:sz w:val="20"/>
        </w:rPr>
      </w:pPr>
      <w:r w:rsidRPr="00FB1F2C">
        <w:rPr>
          <w:rFonts w:ascii="Arial" w:hAnsi="Arial" w:cs="Arial"/>
          <w:i/>
          <w:iCs/>
          <w:color w:val="555555"/>
          <w:sz w:val="20"/>
        </w:rPr>
        <w:t>„Spotřebitelé konsolidaci úvěrů důvěřují – jak ukázal průzkum, více než 93 % z nich je přesvědčeno o tom, že je to dobrý nástroj, který může pomoci ušetřit finanční prostředky. S tím lze sice souhlasit, ale platí zde zásadní podmínka – pomáhá jen ta konsolidace, která je vyřízena s bezpečným poskytovatelem úvěru a s bezpečnými a skutečně výhodnými podmínkami,“ </w:t>
      </w:r>
      <w:r w:rsidRPr="00FB1F2C">
        <w:rPr>
          <w:rFonts w:ascii="Arial" w:hAnsi="Arial" w:cs="Arial"/>
          <w:color w:val="555555"/>
          <w:sz w:val="20"/>
        </w:rPr>
        <w:t>varuje Mejstřík. Navíc – konsolidace se obvykle vztahuje na vyšší finanční obnos než standardní úvěr, protože v ní je zahrnuto několik úvěrových produktů.</w:t>
      </w:r>
    </w:p>
    <w:p w:rsidR="00FB1F2C" w:rsidRPr="00FB1F2C" w:rsidRDefault="00FB1F2C" w:rsidP="00FB1F2C">
      <w:pPr>
        <w:shd w:val="clear" w:color="auto" w:fill="FFFFFF"/>
        <w:spacing w:after="240" w:line="345" w:lineRule="atLeast"/>
        <w:jc w:val="both"/>
        <w:rPr>
          <w:rFonts w:ascii="Arial" w:hAnsi="Arial" w:cs="Arial"/>
          <w:color w:val="555555"/>
          <w:sz w:val="20"/>
        </w:rPr>
      </w:pPr>
      <w:r w:rsidRPr="00FB1F2C">
        <w:rPr>
          <w:rFonts w:ascii="Arial" w:hAnsi="Arial" w:cs="Arial"/>
          <w:color w:val="555555"/>
          <w:sz w:val="20"/>
        </w:rPr>
        <w:t>Konsolidace se obecně využívá ze dvou hlavních důvodů – menší část spotřebitelů ji bere jako šanci na výhodnější podmínky pro své stávající úvěry, pro většinu spotřebitelů jsou ale spíše cestou jak se vyhnout problémům s neschopností splácet úvěry s vysokými měsíčními splátkami. </w:t>
      </w:r>
      <w:r w:rsidRPr="00FB1F2C">
        <w:rPr>
          <w:rFonts w:ascii="Arial" w:hAnsi="Arial" w:cs="Arial"/>
          <w:i/>
          <w:iCs/>
          <w:color w:val="555555"/>
          <w:sz w:val="20"/>
        </w:rPr>
        <w:t>„Pro mnoho spotřebitelů je konsolidace pomyslnou záchrannou brzdou, která jim pomůže snížit měsíční splátky a tím umožní zachování schopnosti splácet,“</w:t>
      </w:r>
      <w:r w:rsidRPr="00FB1F2C">
        <w:rPr>
          <w:rFonts w:ascii="Arial" w:hAnsi="Arial" w:cs="Arial"/>
          <w:color w:val="555555"/>
          <w:sz w:val="20"/>
        </w:rPr>
        <w:t> říká profesor Mejstřík.</w:t>
      </w:r>
    </w:p>
    <w:p w:rsidR="00FB1F2C" w:rsidRPr="00FB1F2C" w:rsidRDefault="00FB1F2C" w:rsidP="00FB1F2C">
      <w:pPr>
        <w:shd w:val="clear" w:color="auto" w:fill="FFFFFF"/>
        <w:spacing w:after="240" w:line="345" w:lineRule="atLeast"/>
        <w:jc w:val="both"/>
        <w:rPr>
          <w:rFonts w:ascii="Arial" w:hAnsi="Arial" w:cs="Arial"/>
          <w:color w:val="555555"/>
          <w:sz w:val="20"/>
        </w:rPr>
      </w:pPr>
      <w:r w:rsidRPr="00FB1F2C">
        <w:rPr>
          <w:rFonts w:ascii="Arial" w:hAnsi="Arial" w:cs="Arial"/>
          <w:color w:val="555555"/>
          <w:sz w:val="20"/>
        </w:rPr>
        <w:t>Konsolidace může být skutečně prostředkem, který spotřebitelům pomáhá například v situaci několika méně výhodných úvěrů či problémů s výší měsíční splátky. Přesto se i dnes mohou setkat s tím, že neseriózní poskytovatelé úvěrů takovému kroku brání. Především méně zodpovědní a bezpeční poskytovatelé berou konsolidaci jako svého „nepřítele“, který je připravuje o jisté klienty. Dočkat se tak mohou i obstrukcí poskytovatele úvěru, který nechce například přijmout předčasné splacení úvěru formou konsolidace. </w:t>
      </w:r>
      <w:r w:rsidRPr="00FB1F2C">
        <w:rPr>
          <w:rFonts w:ascii="Arial" w:hAnsi="Arial" w:cs="Arial"/>
          <w:i/>
          <w:iCs/>
          <w:color w:val="555555"/>
          <w:sz w:val="20"/>
        </w:rPr>
        <w:t>„Spotřebitelé by měli pamatovat na to, že předčasné splacení jakéhokoli úvěru je dáno zákonným právem, a je také jasně určena maximální částka, kterou může takový poskytovatel za předčasné splácení úvěru požadovat,“</w:t>
      </w:r>
      <w:r w:rsidRPr="00FB1F2C">
        <w:rPr>
          <w:rFonts w:ascii="Arial" w:hAnsi="Arial" w:cs="Arial"/>
          <w:color w:val="555555"/>
          <w:sz w:val="20"/>
        </w:rPr>
        <w:t> připomíná Zdeněk Soudný, tiskový mluvčí projektu Navigátor bezpečného úvěru. A uvádí také jeden z příkladů takového obstrukčního jednání. Klient chtěl konsolidovat předražený úvěr – našel si vhodného poskytovatele konsolidace a požádal společnost, u které úvěr měl, aby mu umožnila předčasné splacení. Ta to opravdu umožnila – nicméně vyčíslení dlužné částky poslala nikoli na poskytovatele konsolidace, ale klientovi, který s ní teprve poté mohl přijít za novým poskytovatelem úvěru. Bohužel přišel pozdě, protože na zaplacení částky původní společnost dala úmyslně tak krátkou lhůtu, aby nebylo možné úvěr fakticky splatit. Původní společnost odmítla splacení úvěru akceptovat, zaslanou částku vrátila zpět, jen poníženou o jednu měsíční splátku. Klient tak musel proces konsolidace opakovat.</w:t>
      </w:r>
    </w:p>
    <w:p w:rsidR="00FB1F2C" w:rsidRPr="00FB1F2C" w:rsidRDefault="00FB1F2C" w:rsidP="00FB1F2C">
      <w:pPr>
        <w:shd w:val="clear" w:color="auto" w:fill="333333"/>
        <w:spacing w:line="345" w:lineRule="atLeast"/>
        <w:rPr>
          <w:rFonts w:ascii="Arial" w:hAnsi="Arial" w:cs="Arial"/>
          <w:b/>
          <w:bCs/>
          <w:color w:val="FFFFFF"/>
          <w:sz w:val="22"/>
          <w:szCs w:val="22"/>
        </w:rPr>
      </w:pPr>
      <w:r w:rsidRPr="00FB1F2C">
        <w:rPr>
          <w:rFonts w:ascii="Arial" w:hAnsi="Arial" w:cs="Arial"/>
          <w:b/>
          <w:bCs/>
          <w:color w:val="FFFFFF"/>
          <w:sz w:val="22"/>
          <w:szCs w:val="22"/>
        </w:rPr>
        <w:t>PATERO DOBRÝCH RAD PRO KAŽDÉHO, KDO PŘEMÝŠLÍ O SPOTŘEBITELSKÉM ÚVĚRU</w:t>
      </w:r>
    </w:p>
    <w:p w:rsidR="00FB1F2C" w:rsidRPr="00FB1F2C" w:rsidRDefault="00FB1F2C" w:rsidP="00FB1F2C">
      <w:pPr>
        <w:shd w:val="clear" w:color="auto" w:fill="FFFFFF"/>
        <w:spacing w:after="240" w:line="345" w:lineRule="atLeast"/>
        <w:jc w:val="both"/>
        <w:rPr>
          <w:rFonts w:ascii="Arial" w:hAnsi="Arial" w:cs="Arial"/>
          <w:color w:val="444444"/>
          <w:sz w:val="20"/>
        </w:rPr>
      </w:pPr>
      <w:r w:rsidRPr="00FB1F2C">
        <w:rPr>
          <w:rFonts w:ascii="Arial" w:hAnsi="Arial" w:cs="Arial"/>
          <w:b/>
          <w:bCs/>
          <w:color w:val="444444"/>
          <w:sz w:val="20"/>
        </w:rPr>
        <w:t>Tři krátké rady pro výběr správné konsolidace, aneb jak se nedostat do problémů  </w:t>
      </w:r>
    </w:p>
    <w:p w:rsidR="00FB1F2C" w:rsidRPr="00FB1F2C" w:rsidRDefault="00FB1F2C" w:rsidP="00FB1F2C">
      <w:pPr>
        <w:shd w:val="clear" w:color="auto" w:fill="FFFFFF"/>
        <w:spacing w:after="240" w:line="345" w:lineRule="atLeast"/>
        <w:jc w:val="both"/>
        <w:rPr>
          <w:rFonts w:ascii="Arial" w:hAnsi="Arial" w:cs="Arial"/>
          <w:color w:val="444444"/>
          <w:sz w:val="20"/>
        </w:rPr>
      </w:pPr>
      <w:r w:rsidRPr="00FB1F2C">
        <w:rPr>
          <w:rFonts w:ascii="Arial" w:hAnsi="Arial" w:cs="Arial"/>
          <w:color w:val="444444"/>
          <w:sz w:val="20"/>
        </w:rPr>
        <w:t>1. Vybírejte pečlivě bezpečného poskytovatele konsolidace, vybírejte z prověřených značkových bankovních a nebankovních společností, vyhněte se šedé zóně a lichvářům.</w:t>
      </w:r>
    </w:p>
    <w:p w:rsidR="00FB1F2C" w:rsidRPr="00FB1F2C" w:rsidRDefault="00FB1F2C" w:rsidP="00FB1F2C">
      <w:pPr>
        <w:shd w:val="clear" w:color="auto" w:fill="FFFFFF"/>
        <w:spacing w:after="240" w:line="345" w:lineRule="atLeast"/>
        <w:jc w:val="both"/>
        <w:rPr>
          <w:rFonts w:ascii="Arial" w:hAnsi="Arial" w:cs="Arial"/>
          <w:color w:val="444444"/>
          <w:sz w:val="20"/>
        </w:rPr>
      </w:pPr>
      <w:r w:rsidRPr="00FB1F2C">
        <w:rPr>
          <w:rFonts w:ascii="Arial" w:hAnsi="Arial" w:cs="Arial"/>
          <w:color w:val="444444"/>
          <w:sz w:val="20"/>
        </w:rPr>
        <w:lastRenderedPageBreak/>
        <w:t>2. Nerozhodujte se jen podle výše měsíční splátky, ale zaměřte se také na délku splácení, poplatky, sankce, a další detaily smlouvy.</w:t>
      </w:r>
    </w:p>
    <w:p w:rsidR="00FB1F2C" w:rsidRPr="00FB1F2C" w:rsidRDefault="00FB1F2C" w:rsidP="00FB1F2C">
      <w:pPr>
        <w:shd w:val="clear" w:color="auto" w:fill="FFFFFF"/>
        <w:spacing w:line="345" w:lineRule="atLeast"/>
        <w:jc w:val="both"/>
        <w:rPr>
          <w:rFonts w:ascii="Arial" w:hAnsi="Arial" w:cs="Arial"/>
          <w:color w:val="444444"/>
          <w:sz w:val="20"/>
        </w:rPr>
      </w:pPr>
      <w:r w:rsidRPr="00FB1F2C">
        <w:rPr>
          <w:rFonts w:ascii="Arial" w:hAnsi="Arial" w:cs="Arial"/>
          <w:color w:val="444444"/>
          <w:sz w:val="20"/>
        </w:rPr>
        <w:t>3. Před podpisem si smlouvu důkladně pročtěte – pamatujte, že máte právo vzít si ji domů a v klidu prostudovat.</w:t>
      </w:r>
    </w:p>
    <w:p w:rsidR="00FB1F2C" w:rsidRPr="00012F12" w:rsidRDefault="00FB1F2C" w:rsidP="00FB1F2C">
      <w:pPr>
        <w:jc w:val="both"/>
        <w:rPr>
          <w:rFonts w:asciiTheme="minorHAnsi" w:hAnsiTheme="minorHAnsi" w:cstheme="minorHAnsi"/>
          <w:sz w:val="22"/>
          <w:szCs w:val="22"/>
          <w:u w:val="single"/>
        </w:rPr>
      </w:pPr>
    </w:p>
    <w:p w:rsidR="00012F12" w:rsidRPr="00012F12" w:rsidRDefault="00012F12" w:rsidP="00012F12">
      <w:pPr>
        <w:jc w:val="both"/>
        <w:rPr>
          <w:rFonts w:asciiTheme="minorHAnsi" w:hAnsiTheme="minorHAnsi" w:cstheme="minorHAnsi"/>
          <w:sz w:val="22"/>
          <w:szCs w:val="22"/>
          <w:u w:val="single"/>
        </w:rPr>
      </w:pPr>
    </w:p>
    <w:p w:rsidR="0025090E" w:rsidRDefault="0025090E" w:rsidP="00D932AD">
      <w:pPr>
        <w:jc w:val="both"/>
        <w:rPr>
          <w:rFonts w:asciiTheme="minorHAnsi" w:hAnsiTheme="minorHAnsi" w:cstheme="minorHAnsi"/>
          <w:sz w:val="22"/>
          <w:szCs w:val="22"/>
        </w:rPr>
      </w:pPr>
    </w:p>
    <w:p w:rsidR="00012F12" w:rsidRDefault="00012F12" w:rsidP="00D932AD">
      <w:pPr>
        <w:jc w:val="both"/>
        <w:rPr>
          <w:rFonts w:asciiTheme="minorHAnsi" w:hAnsiTheme="minorHAnsi" w:cstheme="minorHAnsi"/>
          <w:sz w:val="22"/>
          <w:szCs w:val="22"/>
        </w:rPr>
      </w:pPr>
    </w:p>
    <w:p w:rsidR="00B607F4" w:rsidRDefault="00B607F4" w:rsidP="00B607F4">
      <w:pPr>
        <w:pBdr>
          <w:bottom w:val="single" w:sz="4" w:space="1" w:color="auto"/>
        </w:pBdr>
        <w:jc w:val="both"/>
        <w:rPr>
          <w:rFonts w:asciiTheme="minorHAnsi" w:hAnsiTheme="minorHAnsi" w:cstheme="minorHAnsi"/>
          <w:sz w:val="22"/>
          <w:szCs w:val="22"/>
        </w:rPr>
      </w:pPr>
    </w:p>
    <w:p w:rsidR="00012F12" w:rsidRPr="00012F12" w:rsidRDefault="00012F12" w:rsidP="00012F12">
      <w:pPr>
        <w:jc w:val="both"/>
        <w:rPr>
          <w:rFonts w:asciiTheme="minorHAnsi" w:hAnsiTheme="minorHAnsi" w:cstheme="minorHAnsi"/>
          <w:sz w:val="22"/>
          <w:szCs w:val="22"/>
        </w:rPr>
      </w:pPr>
    </w:p>
    <w:p w:rsidR="0025090E" w:rsidRDefault="0025090E" w:rsidP="00D932AD">
      <w:pPr>
        <w:jc w:val="both"/>
        <w:rPr>
          <w:rFonts w:asciiTheme="minorHAnsi" w:hAnsiTheme="minorHAnsi" w:cstheme="minorHAnsi"/>
          <w:sz w:val="22"/>
          <w:szCs w:val="22"/>
        </w:rPr>
      </w:pPr>
    </w:p>
    <w:p w:rsidR="0025090E" w:rsidRPr="00B607F4" w:rsidRDefault="0025090E" w:rsidP="00D932AD">
      <w:pPr>
        <w:jc w:val="both"/>
        <w:rPr>
          <w:rFonts w:asciiTheme="minorHAnsi" w:hAnsiTheme="minorHAnsi" w:cstheme="minorHAnsi"/>
          <w:b/>
          <w:sz w:val="18"/>
        </w:rPr>
      </w:pPr>
      <w:r w:rsidRPr="00B607F4">
        <w:rPr>
          <w:rFonts w:asciiTheme="minorHAnsi" w:hAnsiTheme="minorHAnsi" w:cstheme="minorHAnsi"/>
          <w:b/>
          <w:sz w:val="18"/>
        </w:rPr>
        <w:t xml:space="preserve">O Studii Navigátor bezpečného úvěru 2014 </w:t>
      </w:r>
    </w:p>
    <w:p w:rsidR="0025090E" w:rsidRDefault="0025090E" w:rsidP="0025090E">
      <w:pPr>
        <w:jc w:val="both"/>
        <w:rPr>
          <w:rFonts w:asciiTheme="minorHAnsi" w:hAnsiTheme="minorHAnsi" w:cstheme="minorHAnsi"/>
          <w:sz w:val="22"/>
          <w:szCs w:val="22"/>
        </w:rPr>
      </w:pPr>
    </w:p>
    <w:p w:rsidR="0025090E" w:rsidRPr="00B607F4" w:rsidRDefault="00D91B57" w:rsidP="0025090E">
      <w:pPr>
        <w:jc w:val="both"/>
        <w:rPr>
          <w:rFonts w:asciiTheme="minorHAnsi" w:hAnsiTheme="minorHAnsi" w:cstheme="minorHAnsi"/>
          <w:sz w:val="18"/>
        </w:rPr>
      </w:pPr>
      <w:r w:rsidRPr="00B607F4">
        <w:rPr>
          <w:rFonts w:asciiTheme="minorHAnsi" w:hAnsiTheme="minorHAnsi" w:cstheme="minorHAnsi"/>
          <w:sz w:val="18"/>
        </w:rPr>
        <w:t>Ve S</w:t>
      </w:r>
      <w:r w:rsidR="0025090E" w:rsidRPr="00B607F4">
        <w:rPr>
          <w:rFonts w:asciiTheme="minorHAnsi" w:hAnsiTheme="minorHAnsi" w:cstheme="minorHAnsi"/>
          <w:sz w:val="18"/>
        </w:rPr>
        <w:t xml:space="preserve">tudii </w:t>
      </w:r>
      <w:r w:rsidRPr="00B607F4">
        <w:rPr>
          <w:rFonts w:asciiTheme="minorHAnsi" w:hAnsiTheme="minorHAnsi" w:cstheme="minorHAnsi"/>
          <w:sz w:val="18"/>
        </w:rPr>
        <w:t xml:space="preserve">Navigátor bezpečného úvěru 2014 </w:t>
      </w:r>
      <w:r w:rsidR="0025090E" w:rsidRPr="00B607F4">
        <w:rPr>
          <w:rFonts w:asciiTheme="minorHAnsi" w:hAnsiTheme="minorHAnsi" w:cstheme="minorHAnsi"/>
          <w:sz w:val="18"/>
        </w:rPr>
        <w:t xml:space="preserve">bylo hodnoceno celkem 64 poskytovatelů spotřebitelských úvěrů na českém trhu v roce 2014. Celkem byl Navigátor spočítán pro 105 spotřebitelských úvěrů v ČR; z toho 54 pro úvěry na 30 tis. Kč a 51 pro úvěry na 100 tis. Kč. Navigátor se skládá ze tří dílčích kritérií: rating potenciálního věřitele (5 </w:t>
      </w:r>
      <w:proofErr w:type="spellStart"/>
      <w:r w:rsidR="0025090E" w:rsidRPr="00B607F4">
        <w:rPr>
          <w:rFonts w:asciiTheme="minorHAnsi" w:hAnsiTheme="minorHAnsi" w:cstheme="minorHAnsi"/>
          <w:sz w:val="18"/>
        </w:rPr>
        <w:t>subkritérií</w:t>
      </w:r>
      <w:proofErr w:type="spellEnd"/>
      <w:r w:rsidR="0025090E" w:rsidRPr="00B607F4">
        <w:rPr>
          <w:rFonts w:asciiTheme="minorHAnsi" w:hAnsiTheme="minorHAnsi" w:cstheme="minorHAnsi"/>
          <w:sz w:val="18"/>
        </w:rPr>
        <w:t xml:space="preserve">, 40% váha), ex-ante parametry úvěru (5 </w:t>
      </w:r>
      <w:proofErr w:type="spellStart"/>
      <w:r w:rsidR="0025090E" w:rsidRPr="00B607F4">
        <w:rPr>
          <w:rFonts w:asciiTheme="minorHAnsi" w:hAnsiTheme="minorHAnsi" w:cstheme="minorHAnsi"/>
          <w:sz w:val="18"/>
        </w:rPr>
        <w:t>subkritérií</w:t>
      </w:r>
      <w:proofErr w:type="spellEnd"/>
      <w:r w:rsidR="0025090E" w:rsidRPr="00B607F4">
        <w:rPr>
          <w:rFonts w:asciiTheme="minorHAnsi" w:hAnsiTheme="minorHAnsi" w:cstheme="minorHAnsi"/>
          <w:sz w:val="18"/>
        </w:rPr>
        <w:t xml:space="preserve">, 30% váha) a ex-post parametry úvěru (5 </w:t>
      </w:r>
      <w:proofErr w:type="spellStart"/>
      <w:r w:rsidR="0025090E" w:rsidRPr="00B607F4">
        <w:rPr>
          <w:rFonts w:asciiTheme="minorHAnsi" w:hAnsiTheme="minorHAnsi" w:cstheme="minorHAnsi"/>
          <w:sz w:val="18"/>
        </w:rPr>
        <w:t>subkritérií</w:t>
      </w:r>
      <w:proofErr w:type="spellEnd"/>
      <w:r w:rsidR="0025090E" w:rsidRPr="00B607F4">
        <w:rPr>
          <w:rFonts w:asciiTheme="minorHAnsi" w:hAnsiTheme="minorHAnsi" w:cstheme="minorHAnsi"/>
          <w:sz w:val="18"/>
        </w:rPr>
        <w:t xml:space="preserve">, 30% váha). Výsledná hodnota je váženým průměrem zmíněných 15 </w:t>
      </w:r>
      <w:proofErr w:type="spellStart"/>
      <w:r w:rsidR="0025090E" w:rsidRPr="00B607F4">
        <w:rPr>
          <w:rFonts w:asciiTheme="minorHAnsi" w:hAnsiTheme="minorHAnsi" w:cstheme="minorHAnsi"/>
          <w:sz w:val="18"/>
        </w:rPr>
        <w:t>subkritérií</w:t>
      </w:r>
      <w:proofErr w:type="spellEnd"/>
      <w:r w:rsidR="0025090E" w:rsidRPr="00B607F4">
        <w:rPr>
          <w:rFonts w:asciiTheme="minorHAnsi" w:hAnsiTheme="minorHAnsi" w:cstheme="minorHAnsi"/>
          <w:sz w:val="18"/>
        </w:rPr>
        <w:t>, přičemž Navigátor nabývá hodnot &lt;0,10&gt;. Platí, že čím vyšší je hodnota Navigátoru, tím vyšší je rating věřitele a tím je věřitel spolehlivější. Výsledná hodnota Navigátoru je buď průměr dvou dosažených hodnot (v případě, že subjekt nabízí oba produkty) nebo dosažená hodnota Navigátoru v případě, že subjekt nabízí pouze jeden produkt</w:t>
      </w:r>
      <w:r w:rsidR="00012F12" w:rsidRPr="00B607F4">
        <w:rPr>
          <w:rFonts w:asciiTheme="minorHAnsi" w:hAnsiTheme="minorHAnsi" w:cstheme="minorHAnsi"/>
          <w:sz w:val="18"/>
        </w:rPr>
        <w:t xml:space="preserve">. </w:t>
      </w:r>
    </w:p>
    <w:p w:rsidR="0025090E" w:rsidRPr="00B607F4" w:rsidRDefault="0025090E" w:rsidP="00D932AD">
      <w:pPr>
        <w:jc w:val="both"/>
        <w:rPr>
          <w:rFonts w:asciiTheme="minorHAnsi" w:hAnsiTheme="minorHAnsi" w:cstheme="minorHAnsi"/>
          <w:sz w:val="18"/>
        </w:rPr>
      </w:pPr>
    </w:p>
    <w:p w:rsidR="00176456" w:rsidRPr="00BE3905" w:rsidRDefault="00176456" w:rsidP="00994C11">
      <w:pPr>
        <w:jc w:val="both"/>
        <w:rPr>
          <w:rFonts w:ascii="Arial" w:hAnsi="Arial" w:cs="Arial"/>
          <w:sz w:val="20"/>
        </w:rPr>
      </w:pPr>
    </w:p>
    <w:p w:rsidR="00176456" w:rsidRPr="00BE3905" w:rsidRDefault="00176456" w:rsidP="00994C11">
      <w:pPr>
        <w:jc w:val="both"/>
      </w:pPr>
    </w:p>
    <w:p w:rsidR="00735714" w:rsidRPr="00735714" w:rsidRDefault="00735714" w:rsidP="00B04B5D">
      <w:pPr>
        <w:jc w:val="both"/>
        <w:rPr>
          <w:rFonts w:asciiTheme="minorHAnsi" w:hAnsiTheme="minorHAnsi" w:cstheme="minorHAnsi"/>
          <w:b/>
          <w:sz w:val="18"/>
        </w:rPr>
      </w:pPr>
    </w:p>
    <w:p w:rsidR="00B04B5D" w:rsidRPr="00735714" w:rsidRDefault="00157540" w:rsidP="00B04B5D">
      <w:pPr>
        <w:jc w:val="both"/>
        <w:rPr>
          <w:rFonts w:asciiTheme="minorHAnsi" w:hAnsiTheme="minorHAnsi" w:cstheme="minorHAnsi"/>
          <w:b/>
          <w:sz w:val="18"/>
        </w:rPr>
      </w:pPr>
      <w:r>
        <w:rPr>
          <w:rFonts w:cs="Calibri"/>
          <w:b/>
          <w:noProof/>
          <w:sz w:val="18"/>
        </w:rPr>
        <w:drawing>
          <wp:anchor distT="0" distB="0" distL="114300" distR="114300" simplePos="0" relativeHeight="251657216" behindDoc="0" locked="0" layoutInCell="1" allowOverlap="1">
            <wp:simplePos x="0" y="0"/>
            <wp:positionH relativeFrom="margin">
              <wp:posOffset>7620</wp:posOffset>
            </wp:positionH>
            <wp:positionV relativeFrom="paragraph">
              <wp:posOffset>24765</wp:posOffset>
            </wp:positionV>
            <wp:extent cx="1566545" cy="464185"/>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545" cy="464185"/>
                    </a:xfrm>
                    <a:prstGeom prst="rect">
                      <a:avLst/>
                    </a:prstGeom>
                    <a:noFill/>
                  </pic:spPr>
                </pic:pic>
              </a:graphicData>
            </a:graphic>
          </wp:anchor>
        </w:drawing>
      </w:r>
      <w:r w:rsidR="00B04B5D" w:rsidRPr="00735714">
        <w:rPr>
          <w:rFonts w:asciiTheme="minorHAnsi" w:hAnsiTheme="minorHAnsi" w:cstheme="minorHAnsi"/>
          <w:b/>
          <w:sz w:val="18"/>
        </w:rPr>
        <w:t xml:space="preserve">O Navigátorovi </w:t>
      </w:r>
      <w:r w:rsidR="000439D1">
        <w:rPr>
          <w:rFonts w:asciiTheme="minorHAnsi" w:hAnsiTheme="minorHAnsi" w:cstheme="minorHAnsi"/>
          <w:b/>
          <w:sz w:val="18"/>
        </w:rPr>
        <w:t>bezpečného</w:t>
      </w:r>
      <w:r w:rsidR="00B04B5D" w:rsidRPr="00735714">
        <w:rPr>
          <w:rFonts w:asciiTheme="minorHAnsi" w:hAnsiTheme="minorHAnsi" w:cstheme="minorHAnsi"/>
          <w:b/>
          <w:sz w:val="18"/>
        </w:rPr>
        <w:t xml:space="preserve"> úvěrování</w:t>
      </w:r>
    </w:p>
    <w:p w:rsidR="00B04B5D" w:rsidRPr="00735714" w:rsidRDefault="00B04B5D" w:rsidP="00B04B5D">
      <w:pPr>
        <w:jc w:val="both"/>
        <w:rPr>
          <w:rFonts w:asciiTheme="minorHAnsi" w:hAnsiTheme="minorHAnsi" w:cstheme="minorHAnsi"/>
          <w:sz w:val="18"/>
        </w:rPr>
      </w:pPr>
      <w:r w:rsidRPr="00735714">
        <w:rPr>
          <w:rFonts w:asciiTheme="minorHAnsi" w:hAnsiTheme="minorHAnsi" w:cstheme="minorHAnsi"/>
          <w:sz w:val="18"/>
        </w:rPr>
        <w:t>Zmapovat a popsat český trh spotřebitelských půjček, posoudit kvalitu jednotlivých poskytovatelů, nabídnout veřejnosti nástroj, díky němuž se dají finanční instituce jednoduše porovnat, a přispět tak ke zlepšení úrovně finanční gramotnosti – to jsou hlavní cíle projektu Navigátor bezpečného úvěru.</w:t>
      </w:r>
    </w:p>
    <w:p w:rsidR="006562A3" w:rsidRPr="00735714" w:rsidRDefault="006562A3" w:rsidP="00B04B5D">
      <w:pPr>
        <w:jc w:val="both"/>
        <w:rPr>
          <w:rFonts w:asciiTheme="minorHAnsi" w:hAnsiTheme="minorHAnsi" w:cstheme="minorHAnsi"/>
          <w:sz w:val="18"/>
        </w:rPr>
      </w:pPr>
    </w:p>
    <w:p w:rsidR="00B04B5D" w:rsidRPr="00735714" w:rsidRDefault="00B04B5D" w:rsidP="00B04B5D">
      <w:pPr>
        <w:jc w:val="both"/>
        <w:rPr>
          <w:rFonts w:asciiTheme="minorHAnsi" w:hAnsiTheme="minorHAnsi" w:cstheme="minorHAnsi"/>
          <w:sz w:val="18"/>
        </w:rPr>
      </w:pPr>
      <w:r w:rsidRPr="00735714">
        <w:rPr>
          <w:rFonts w:asciiTheme="minorHAnsi" w:hAnsiTheme="minorHAnsi" w:cstheme="minorHAnsi"/>
          <w:sz w:val="18"/>
        </w:rPr>
        <w:t>Navigátor bezpečného úvěr</w:t>
      </w:r>
      <w:r w:rsidR="006562A3" w:rsidRPr="00735714">
        <w:rPr>
          <w:rFonts w:asciiTheme="minorHAnsi" w:hAnsiTheme="minorHAnsi" w:cstheme="minorHAnsi"/>
          <w:sz w:val="18"/>
        </w:rPr>
        <w:t>u</w:t>
      </w:r>
      <w:r w:rsidRPr="00735714">
        <w:rPr>
          <w:rFonts w:asciiTheme="minorHAnsi" w:hAnsiTheme="minorHAnsi" w:cstheme="minorHAnsi"/>
          <w:sz w:val="18"/>
        </w:rPr>
        <w:t xml:space="preserve"> si klade za cíl pomoci zájemcům o půjčku tím, že je nasměruje k bezpečným poskytovatelům úvěrů.  Dalším cílem je upozornit na ty nebezpečné – spíše než jejich názvy a jména však chce ukazovat na jejich praktiky, protože takových subjektů jsou u nás tisíce a všechny je vyjmenovat není v zásadě možné.</w:t>
      </w:r>
    </w:p>
    <w:p w:rsidR="006562A3" w:rsidRPr="00735714" w:rsidRDefault="006562A3" w:rsidP="00B04B5D">
      <w:pPr>
        <w:jc w:val="both"/>
        <w:rPr>
          <w:rFonts w:asciiTheme="minorHAnsi" w:hAnsiTheme="minorHAnsi" w:cstheme="minorHAnsi"/>
          <w:sz w:val="18"/>
        </w:rPr>
      </w:pPr>
    </w:p>
    <w:p w:rsidR="00B04B5D" w:rsidRPr="00735714" w:rsidRDefault="00B04B5D" w:rsidP="00B04B5D">
      <w:pPr>
        <w:jc w:val="both"/>
        <w:rPr>
          <w:rFonts w:asciiTheme="minorHAnsi" w:hAnsiTheme="minorHAnsi" w:cstheme="minorHAnsi"/>
          <w:sz w:val="18"/>
        </w:rPr>
      </w:pPr>
      <w:r w:rsidRPr="00735714">
        <w:rPr>
          <w:rFonts w:asciiTheme="minorHAnsi" w:hAnsiTheme="minorHAnsi" w:cstheme="minorHAnsi"/>
          <w:i/>
          <w:sz w:val="18"/>
        </w:rPr>
        <w:t>„Chceme do džungle spotřebitelských půjček přinést nástroj, který lidem umožní rychle a jednoduše zjistit, kde si opravdu nepůjčovat, a naopak jim pomůže zorientovat se mezi důvěryhodnými institucemi. Zájemci o půjčku potřebují srozumitelný žebříček sestavený právě na základě nejdůležitějších kritérií, která by měli sami zkoumat,“</w:t>
      </w:r>
      <w:r w:rsidRPr="00735714">
        <w:rPr>
          <w:rFonts w:asciiTheme="minorHAnsi" w:hAnsiTheme="minorHAnsi" w:cstheme="minorHAnsi"/>
          <w:sz w:val="18"/>
        </w:rPr>
        <w:t xml:space="preserve"> uvádí garant projektu, profesor Michal Mejstřík. Dodává, že tato aktivita navazuje na doporučení Národní ekonomické rady vlády, jak řešit zadlužování Čechů, kterým je zlepšování finanční gramotnosti.</w:t>
      </w:r>
    </w:p>
    <w:p w:rsidR="00B04B5D" w:rsidRPr="00735714" w:rsidRDefault="00B04B5D" w:rsidP="00B04B5D">
      <w:pPr>
        <w:jc w:val="both"/>
        <w:rPr>
          <w:rFonts w:asciiTheme="minorHAnsi" w:hAnsiTheme="minorHAnsi" w:cstheme="minorHAnsi"/>
          <w:sz w:val="18"/>
        </w:rPr>
      </w:pPr>
    </w:p>
    <w:p w:rsidR="00B04B5D" w:rsidRPr="00735714" w:rsidRDefault="00B04B5D" w:rsidP="00B04B5D">
      <w:pPr>
        <w:jc w:val="both"/>
        <w:rPr>
          <w:rFonts w:asciiTheme="minorHAnsi" w:hAnsiTheme="minorHAnsi" w:cstheme="minorHAnsi"/>
          <w:b/>
          <w:sz w:val="20"/>
        </w:rPr>
      </w:pPr>
      <w:r w:rsidRPr="00735714">
        <w:rPr>
          <w:rFonts w:asciiTheme="minorHAnsi" w:hAnsiTheme="minorHAnsi" w:cstheme="minorHAnsi"/>
          <w:b/>
          <w:sz w:val="20"/>
        </w:rPr>
        <w:t>Kontakt pro média</w:t>
      </w:r>
    </w:p>
    <w:p w:rsidR="006562A3" w:rsidRPr="00735714" w:rsidRDefault="006562A3" w:rsidP="00B04B5D">
      <w:pPr>
        <w:jc w:val="both"/>
        <w:rPr>
          <w:rFonts w:asciiTheme="minorHAnsi" w:hAnsiTheme="minorHAnsi" w:cstheme="minorHAnsi"/>
          <w:sz w:val="20"/>
        </w:rPr>
      </w:pPr>
      <w:r w:rsidRPr="00735714">
        <w:rPr>
          <w:rFonts w:asciiTheme="minorHAnsi" w:hAnsiTheme="minorHAnsi" w:cstheme="minorHAnsi"/>
          <w:sz w:val="20"/>
        </w:rPr>
        <w:t>Zdeněk Soudný</w:t>
      </w:r>
    </w:p>
    <w:p w:rsidR="00B04B5D" w:rsidRPr="00735714" w:rsidRDefault="00B04B5D" w:rsidP="00B04B5D">
      <w:pPr>
        <w:jc w:val="both"/>
        <w:rPr>
          <w:rFonts w:asciiTheme="minorHAnsi" w:hAnsiTheme="minorHAnsi" w:cstheme="minorHAnsi"/>
          <w:sz w:val="20"/>
        </w:rPr>
      </w:pPr>
      <w:r w:rsidRPr="00735714">
        <w:rPr>
          <w:rFonts w:asciiTheme="minorHAnsi" w:hAnsiTheme="minorHAnsi" w:cstheme="minorHAnsi"/>
          <w:sz w:val="20"/>
        </w:rPr>
        <w:t>tiskový mluvčí projektu</w:t>
      </w:r>
    </w:p>
    <w:p w:rsidR="006562A3" w:rsidRPr="00735714" w:rsidRDefault="00B04B5D" w:rsidP="00B04B5D">
      <w:pPr>
        <w:jc w:val="both"/>
        <w:rPr>
          <w:rFonts w:asciiTheme="minorHAnsi" w:hAnsiTheme="minorHAnsi" w:cstheme="minorHAnsi"/>
          <w:sz w:val="20"/>
        </w:rPr>
      </w:pPr>
      <w:r w:rsidRPr="00735714">
        <w:rPr>
          <w:rFonts w:asciiTheme="minorHAnsi" w:hAnsiTheme="minorHAnsi" w:cstheme="minorHAnsi"/>
          <w:sz w:val="20"/>
        </w:rPr>
        <w:t>+420 731 431</w:t>
      </w:r>
      <w:r w:rsidR="006562A3" w:rsidRPr="00735714">
        <w:rPr>
          <w:rFonts w:asciiTheme="minorHAnsi" w:hAnsiTheme="minorHAnsi" w:cstheme="minorHAnsi"/>
          <w:sz w:val="20"/>
        </w:rPr>
        <w:t> </w:t>
      </w:r>
      <w:r w:rsidRPr="00735714">
        <w:rPr>
          <w:rFonts w:asciiTheme="minorHAnsi" w:hAnsiTheme="minorHAnsi" w:cstheme="minorHAnsi"/>
          <w:sz w:val="20"/>
        </w:rPr>
        <w:t>998</w:t>
      </w:r>
    </w:p>
    <w:p w:rsidR="006562A3" w:rsidRPr="00735714" w:rsidRDefault="00425568" w:rsidP="00B04B5D">
      <w:pPr>
        <w:jc w:val="both"/>
        <w:rPr>
          <w:rFonts w:asciiTheme="minorHAnsi" w:hAnsiTheme="minorHAnsi" w:cstheme="minorHAnsi"/>
          <w:sz w:val="20"/>
        </w:rPr>
      </w:pPr>
      <w:hyperlink r:id="rId10" w:history="1">
        <w:r w:rsidR="006562A3" w:rsidRPr="00735714">
          <w:rPr>
            <w:rStyle w:val="Hypertextovodkaz"/>
            <w:rFonts w:asciiTheme="minorHAnsi" w:hAnsiTheme="minorHAnsi" w:cstheme="minorHAnsi"/>
            <w:sz w:val="20"/>
          </w:rPr>
          <w:t>navigator@eeip.cz</w:t>
        </w:r>
      </w:hyperlink>
    </w:p>
    <w:p w:rsidR="00707B2A" w:rsidRPr="00024190" w:rsidRDefault="00425568" w:rsidP="00DF2A6C">
      <w:pPr>
        <w:jc w:val="both"/>
        <w:rPr>
          <w:rFonts w:asciiTheme="minorHAnsi" w:hAnsiTheme="minorHAnsi" w:cstheme="minorHAnsi"/>
          <w:sz w:val="20"/>
        </w:rPr>
      </w:pPr>
      <w:hyperlink r:id="rId11" w:history="1">
        <w:r w:rsidR="006562A3" w:rsidRPr="00735714">
          <w:rPr>
            <w:rStyle w:val="Hypertextovodkaz"/>
            <w:rFonts w:asciiTheme="minorHAnsi" w:hAnsiTheme="minorHAnsi" w:cstheme="minorHAnsi"/>
            <w:sz w:val="20"/>
          </w:rPr>
          <w:t>zdesou@gmail.com</w:t>
        </w:r>
      </w:hyperlink>
      <w:r w:rsidR="006562A3" w:rsidRPr="00735714">
        <w:rPr>
          <w:rFonts w:asciiTheme="minorHAnsi" w:hAnsiTheme="minorHAnsi" w:cstheme="minorHAnsi"/>
          <w:sz w:val="20"/>
        </w:rPr>
        <w:t xml:space="preserve"> </w:t>
      </w:r>
    </w:p>
    <w:sectPr w:rsidR="00707B2A" w:rsidRPr="00024190" w:rsidSect="003F3720">
      <w:headerReference w:type="default" r:id="rId12"/>
      <w:footerReference w:type="default" r:id="rId13"/>
      <w:pgSz w:w="11907" w:h="16840" w:code="9"/>
      <w:pgMar w:top="2268" w:right="964" w:bottom="1418" w:left="96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68" w:rsidRDefault="00425568">
      <w:r>
        <w:separator/>
      </w:r>
    </w:p>
  </w:endnote>
  <w:endnote w:type="continuationSeparator" w:id="0">
    <w:p w:rsidR="00425568" w:rsidRDefault="0042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83" w:rsidRPr="00792BCE" w:rsidRDefault="00727C83">
    <w:pPr>
      <w:pStyle w:val="Zpat"/>
      <w:jc w:val="center"/>
      <w:rPr>
        <w:sz w:val="20"/>
      </w:rPr>
    </w:pPr>
    <w:proofErr w:type="spellStart"/>
    <w:r w:rsidRPr="00792BCE">
      <w:rPr>
        <w:sz w:val="20"/>
      </w:rPr>
      <w:t>Strana</w:t>
    </w:r>
    <w:proofErr w:type="spellEnd"/>
    <w:r w:rsidRPr="00792BCE">
      <w:rPr>
        <w:sz w:val="20"/>
      </w:rPr>
      <w:t xml:space="preserve"> </w:t>
    </w:r>
    <w:r w:rsidR="00E16928" w:rsidRPr="00792BCE">
      <w:rPr>
        <w:sz w:val="20"/>
      </w:rPr>
      <w:fldChar w:fldCharType="begin"/>
    </w:r>
    <w:r w:rsidRPr="00792BCE">
      <w:rPr>
        <w:sz w:val="20"/>
      </w:rPr>
      <w:instrText xml:space="preserve"> PAGE   \* MERGEFORMAT </w:instrText>
    </w:r>
    <w:r w:rsidR="00E16928" w:rsidRPr="00792BCE">
      <w:rPr>
        <w:sz w:val="20"/>
      </w:rPr>
      <w:fldChar w:fldCharType="separate"/>
    </w:r>
    <w:r w:rsidR="00FB1F2C">
      <w:rPr>
        <w:noProof/>
        <w:sz w:val="20"/>
      </w:rPr>
      <w:t>3</w:t>
    </w:r>
    <w:r w:rsidR="00E16928" w:rsidRPr="00792BCE">
      <w:rPr>
        <w:sz w:val="20"/>
      </w:rPr>
      <w:fldChar w:fldCharType="end"/>
    </w:r>
    <w:r w:rsidRPr="00792BCE">
      <w:rPr>
        <w:sz w:val="20"/>
      </w:rPr>
      <w:t>/</w:t>
    </w:r>
    <w:r>
      <w:rPr>
        <w:sz w:val="20"/>
      </w:rPr>
      <w:t>2</w:t>
    </w:r>
  </w:p>
  <w:p w:rsidR="00727C83" w:rsidRDefault="00727C83">
    <w:pPr>
      <w:pStyle w:val="Zpat"/>
      <w:jc w:val="right"/>
      <w:rPr>
        <w:sz w:val="10"/>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68" w:rsidRDefault="00425568">
      <w:r>
        <w:separator/>
      </w:r>
    </w:p>
  </w:footnote>
  <w:footnote w:type="continuationSeparator" w:id="0">
    <w:p w:rsidR="00425568" w:rsidRDefault="00425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83" w:rsidRDefault="00727C83">
    <w:pPr>
      <w:pStyle w:val="Zhlav"/>
    </w:pPr>
    <w:r>
      <w:rPr>
        <w:noProof/>
        <w:lang w:val="cs-CZ"/>
      </w:rPr>
      <w:drawing>
        <wp:anchor distT="0" distB="0" distL="114300" distR="114300" simplePos="0" relativeHeight="251658240" behindDoc="0" locked="0" layoutInCell="1" allowOverlap="1">
          <wp:simplePos x="0" y="0"/>
          <wp:positionH relativeFrom="column">
            <wp:posOffset>21590</wp:posOffset>
          </wp:positionH>
          <wp:positionV relativeFrom="paragraph">
            <wp:posOffset>81915</wp:posOffset>
          </wp:positionV>
          <wp:extent cx="2467610" cy="721360"/>
          <wp:effectExtent l="0" t="0" r="8890" b="2540"/>
          <wp:wrapSquare wrapText="bothSides"/>
          <wp:docPr id="1" name="obrázek 1" descr="navigator-positiv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gator-positive-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7610" cy="7213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1"/>
      <w:numFmt w:val="lowerLetter"/>
      <w:lvlText w:val="%1)"/>
      <w:lvlJc w:val="left"/>
      <w:pPr>
        <w:tabs>
          <w:tab w:val="num" w:pos="1080"/>
        </w:tabs>
        <w:ind w:left="1080" w:hanging="360"/>
      </w:pPr>
    </w:lvl>
  </w:abstractNum>
  <w:abstractNum w:abstractNumId="1">
    <w:nsid w:val="098D13A0"/>
    <w:multiLevelType w:val="hybridMultilevel"/>
    <w:tmpl w:val="13D2BC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1AF6E21"/>
    <w:multiLevelType w:val="hybridMultilevel"/>
    <w:tmpl w:val="E732F68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0A1D13"/>
    <w:multiLevelType w:val="hybridMultilevel"/>
    <w:tmpl w:val="464C65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D64B49"/>
    <w:multiLevelType w:val="hybridMultilevel"/>
    <w:tmpl w:val="C38C61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605A29"/>
    <w:multiLevelType w:val="singleLevel"/>
    <w:tmpl w:val="317CAEBC"/>
    <w:lvl w:ilvl="0">
      <w:start w:val="1"/>
      <w:numFmt w:val="bullet"/>
      <w:lvlText w:val="–"/>
      <w:lvlJc w:val="left"/>
      <w:pPr>
        <w:tabs>
          <w:tab w:val="num" w:pos="1332"/>
        </w:tabs>
        <w:ind w:left="1332" w:hanging="360"/>
      </w:pPr>
      <w:rPr>
        <w:rFonts w:hint="default"/>
      </w:rPr>
    </w:lvl>
  </w:abstractNum>
  <w:abstractNum w:abstractNumId="6">
    <w:nsid w:val="32843AC4"/>
    <w:multiLevelType w:val="hybridMultilevel"/>
    <w:tmpl w:val="A106CC68"/>
    <w:lvl w:ilvl="0" w:tplc="E6E0B620">
      <w:numFmt w:val="bullet"/>
      <w:lvlText w:val="•"/>
      <w:lvlJc w:val="left"/>
      <w:pPr>
        <w:ind w:left="1080" w:hanging="72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FA4CEB"/>
    <w:multiLevelType w:val="hybridMultilevel"/>
    <w:tmpl w:val="085ADD94"/>
    <w:lvl w:ilvl="0" w:tplc="20AE2F32">
      <w:start w:val="1"/>
      <w:numFmt w:val="decimal"/>
      <w:lvlText w:val="%1."/>
      <w:lvlJc w:val="left"/>
      <w:pPr>
        <w:ind w:left="720"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5BD47C2"/>
    <w:multiLevelType w:val="hybridMultilevel"/>
    <w:tmpl w:val="51A45342"/>
    <w:lvl w:ilvl="0" w:tplc="C892342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2A2592"/>
    <w:multiLevelType w:val="hybridMultilevel"/>
    <w:tmpl w:val="2AEC29F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9820B27"/>
    <w:multiLevelType w:val="hybridMultilevel"/>
    <w:tmpl w:val="036E12E8"/>
    <w:lvl w:ilvl="0" w:tplc="DAC0AAAC">
      <w:start w:val="13"/>
      <w:numFmt w:val="bullet"/>
      <w:lvlText w:val="-"/>
      <w:lvlJc w:val="left"/>
      <w:pPr>
        <w:ind w:left="720" w:hanging="360"/>
      </w:pPr>
      <w:rPr>
        <w:rFonts w:ascii="Arial" w:eastAsia="Calibr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5EF63FCC"/>
    <w:multiLevelType w:val="hybridMultilevel"/>
    <w:tmpl w:val="5ACE207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F6D0800"/>
    <w:multiLevelType w:val="hybridMultilevel"/>
    <w:tmpl w:val="51D02A42"/>
    <w:lvl w:ilvl="0" w:tplc="6A06CCB0">
      <w:start w:val="1"/>
      <w:numFmt w:val="bullet"/>
      <w:lvlText w:val="•"/>
      <w:lvlJc w:val="left"/>
      <w:pPr>
        <w:tabs>
          <w:tab w:val="num" w:pos="720"/>
        </w:tabs>
        <w:ind w:left="720" w:hanging="360"/>
      </w:pPr>
      <w:rPr>
        <w:rFonts w:ascii="Arial" w:hAnsi="Arial" w:hint="default"/>
      </w:rPr>
    </w:lvl>
    <w:lvl w:ilvl="1" w:tplc="31F0430E" w:tentative="1">
      <w:start w:val="1"/>
      <w:numFmt w:val="bullet"/>
      <w:lvlText w:val="•"/>
      <w:lvlJc w:val="left"/>
      <w:pPr>
        <w:tabs>
          <w:tab w:val="num" w:pos="1440"/>
        </w:tabs>
        <w:ind w:left="1440" w:hanging="360"/>
      </w:pPr>
      <w:rPr>
        <w:rFonts w:ascii="Arial" w:hAnsi="Arial" w:hint="default"/>
      </w:rPr>
    </w:lvl>
    <w:lvl w:ilvl="2" w:tplc="C936B4E0" w:tentative="1">
      <w:start w:val="1"/>
      <w:numFmt w:val="bullet"/>
      <w:lvlText w:val="•"/>
      <w:lvlJc w:val="left"/>
      <w:pPr>
        <w:tabs>
          <w:tab w:val="num" w:pos="2160"/>
        </w:tabs>
        <w:ind w:left="2160" w:hanging="360"/>
      </w:pPr>
      <w:rPr>
        <w:rFonts w:ascii="Arial" w:hAnsi="Arial" w:hint="default"/>
      </w:rPr>
    </w:lvl>
    <w:lvl w:ilvl="3" w:tplc="8CBA4982">
      <w:start w:val="2454"/>
      <w:numFmt w:val="bullet"/>
      <w:lvlText w:val="–"/>
      <w:lvlJc w:val="left"/>
      <w:pPr>
        <w:tabs>
          <w:tab w:val="num" w:pos="2880"/>
        </w:tabs>
        <w:ind w:left="2880" w:hanging="360"/>
      </w:pPr>
      <w:rPr>
        <w:rFonts w:ascii="Arial" w:hAnsi="Arial" w:hint="default"/>
      </w:rPr>
    </w:lvl>
    <w:lvl w:ilvl="4" w:tplc="6BD08730" w:tentative="1">
      <w:start w:val="1"/>
      <w:numFmt w:val="bullet"/>
      <w:lvlText w:val="•"/>
      <w:lvlJc w:val="left"/>
      <w:pPr>
        <w:tabs>
          <w:tab w:val="num" w:pos="3600"/>
        </w:tabs>
        <w:ind w:left="3600" w:hanging="360"/>
      </w:pPr>
      <w:rPr>
        <w:rFonts w:ascii="Arial" w:hAnsi="Arial" w:hint="default"/>
      </w:rPr>
    </w:lvl>
    <w:lvl w:ilvl="5" w:tplc="B4B2A20A" w:tentative="1">
      <w:start w:val="1"/>
      <w:numFmt w:val="bullet"/>
      <w:lvlText w:val="•"/>
      <w:lvlJc w:val="left"/>
      <w:pPr>
        <w:tabs>
          <w:tab w:val="num" w:pos="4320"/>
        </w:tabs>
        <w:ind w:left="4320" w:hanging="360"/>
      </w:pPr>
      <w:rPr>
        <w:rFonts w:ascii="Arial" w:hAnsi="Arial" w:hint="default"/>
      </w:rPr>
    </w:lvl>
    <w:lvl w:ilvl="6" w:tplc="090A1DB2" w:tentative="1">
      <w:start w:val="1"/>
      <w:numFmt w:val="bullet"/>
      <w:lvlText w:val="•"/>
      <w:lvlJc w:val="left"/>
      <w:pPr>
        <w:tabs>
          <w:tab w:val="num" w:pos="5040"/>
        </w:tabs>
        <w:ind w:left="5040" w:hanging="360"/>
      </w:pPr>
      <w:rPr>
        <w:rFonts w:ascii="Arial" w:hAnsi="Arial" w:hint="default"/>
      </w:rPr>
    </w:lvl>
    <w:lvl w:ilvl="7" w:tplc="A8E87804" w:tentative="1">
      <w:start w:val="1"/>
      <w:numFmt w:val="bullet"/>
      <w:lvlText w:val="•"/>
      <w:lvlJc w:val="left"/>
      <w:pPr>
        <w:tabs>
          <w:tab w:val="num" w:pos="5760"/>
        </w:tabs>
        <w:ind w:left="5760" w:hanging="360"/>
      </w:pPr>
      <w:rPr>
        <w:rFonts w:ascii="Arial" w:hAnsi="Arial" w:hint="default"/>
      </w:rPr>
    </w:lvl>
    <w:lvl w:ilvl="8" w:tplc="93D60962" w:tentative="1">
      <w:start w:val="1"/>
      <w:numFmt w:val="bullet"/>
      <w:lvlText w:val="•"/>
      <w:lvlJc w:val="left"/>
      <w:pPr>
        <w:tabs>
          <w:tab w:val="num" w:pos="6480"/>
        </w:tabs>
        <w:ind w:left="6480" w:hanging="360"/>
      </w:pPr>
      <w:rPr>
        <w:rFonts w:ascii="Arial" w:hAnsi="Arial" w:hint="default"/>
      </w:rPr>
    </w:lvl>
  </w:abstractNum>
  <w:abstractNum w:abstractNumId="13">
    <w:nsid w:val="73C110DB"/>
    <w:multiLevelType w:val="hybridMultilevel"/>
    <w:tmpl w:val="A4C803E0"/>
    <w:lvl w:ilvl="0" w:tplc="04050001">
      <w:start w:val="1"/>
      <w:numFmt w:val="bullet"/>
      <w:lvlText w:val=""/>
      <w:lvlJc w:val="left"/>
      <w:pPr>
        <w:tabs>
          <w:tab w:val="num" w:pos="1068"/>
        </w:tabs>
        <w:ind w:left="1068" w:hanging="360"/>
      </w:pPr>
      <w:rPr>
        <w:rFonts w:ascii="Symbol" w:hAnsi="Symbol"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78AA6287"/>
    <w:multiLevelType w:val="hybridMultilevel"/>
    <w:tmpl w:val="2820D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A8C31B6"/>
    <w:multiLevelType w:val="hybridMultilevel"/>
    <w:tmpl w:val="A3E876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596DB9"/>
    <w:multiLevelType w:val="hybridMultilevel"/>
    <w:tmpl w:val="B56C5F86"/>
    <w:lvl w:ilvl="0" w:tplc="1554917C">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9"/>
  </w:num>
  <w:num w:numId="5">
    <w:abstractNumId w:val="11"/>
  </w:num>
  <w:num w:numId="6">
    <w:abstractNumId w:val="16"/>
  </w:num>
  <w:num w:numId="7">
    <w:abstractNumId w:val="2"/>
  </w:num>
  <w:num w:numId="8">
    <w:abstractNumId w:val="14"/>
  </w:num>
  <w:num w:numId="9">
    <w:abstractNumId w:val="8"/>
  </w:num>
  <w:num w:numId="10">
    <w:abstractNumId w:val="3"/>
  </w:num>
  <w:num w:numId="11">
    <w:abstractNumId w:val="6"/>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15"/>
  </w:num>
  <w:num w:numId="17">
    <w:abstractNumId w:val="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64"/>
    <w:rsid w:val="0000503F"/>
    <w:rsid w:val="00005949"/>
    <w:rsid w:val="00012F12"/>
    <w:rsid w:val="00013BD4"/>
    <w:rsid w:val="000141DA"/>
    <w:rsid w:val="00024190"/>
    <w:rsid w:val="00030FF5"/>
    <w:rsid w:val="00033B4B"/>
    <w:rsid w:val="000439D1"/>
    <w:rsid w:val="00063625"/>
    <w:rsid w:val="0007608E"/>
    <w:rsid w:val="00081E8B"/>
    <w:rsid w:val="00086F00"/>
    <w:rsid w:val="00091ED4"/>
    <w:rsid w:val="00095961"/>
    <w:rsid w:val="000B4921"/>
    <w:rsid w:val="000C7062"/>
    <w:rsid w:val="000D4967"/>
    <w:rsid w:val="000E7F5C"/>
    <w:rsid w:val="000F20E9"/>
    <w:rsid w:val="000F5231"/>
    <w:rsid w:val="001052BA"/>
    <w:rsid w:val="001171D2"/>
    <w:rsid w:val="00121272"/>
    <w:rsid w:val="0012190D"/>
    <w:rsid w:val="00122099"/>
    <w:rsid w:val="0015260B"/>
    <w:rsid w:val="0015583D"/>
    <w:rsid w:val="00157540"/>
    <w:rsid w:val="001653D3"/>
    <w:rsid w:val="00165FFF"/>
    <w:rsid w:val="00166D12"/>
    <w:rsid w:val="001675EC"/>
    <w:rsid w:val="00174575"/>
    <w:rsid w:val="001758E4"/>
    <w:rsid w:val="00176456"/>
    <w:rsid w:val="001A2666"/>
    <w:rsid w:val="001A2FEE"/>
    <w:rsid w:val="001B38D7"/>
    <w:rsid w:val="001C7735"/>
    <w:rsid w:val="001E304F"/>
    <w:rsid w:val="001F10A7"/>
    <w:rsid w:val="001F1900"/>
    <w:rsid w:val="00201665"/>
    <w:rsid w:val="00207142"/>
    <w:rsid w:val="00212248"/>
    <w:rsid w:val="00223438"/>
    <w:rsid w:val="00230B85"/>
    <w:rsid w:val="0025090E"/>
    <w:rsid w:val="00254804"/>
    <w:rsid w:val="002564D4"/>
    <w:rsid w:val="00270883"/>
    <w:rsid w:val="00280324"/>
    <w:rsid w:val="00282B6F"/>
    <w:rsid w:val="002850BB"/>
    <w:rsid w:val="0028692B"/>
    <w:rsid w:val="002B565B"/>
    <w:rsid w:val="002C42B7"/>
    <w:rsid w:val="002F7368"/>
    <w:rsid w:val="0032589A"/>
    <w:rsid w:val="00341F0F"/>
    <w:rsid w:val="0034244F"/>
    <w:rsid w:val="00356A85"/>
    <w:rsid w:val="003637B3"/>
    <w:rsid w:val="00374516"/>
    <w:rsid w:val="00391536"/>
    <w:rsid w:val="003951F5"/>
    <w:rsid w:val="003A6084"/>
    <w:rsid w:val="003B7837"/>
    <w:rsid w:val="003B796A"/>
    <w:rsid w:val="003C4AE5"/>
    <w:rsid w:val="003C5B7A"/>
    <w:rsid w:val="003E4DCB"/>
    <w:rsid w:val="003E4E14"/>
    <w:rsid w:val="003E6018"/>
    <w:rsid w:val="003F3720"/>
    <w:rsid w:val="004043C2"/>
    <w:rsid w:val="00410BAA"/>
    <w:rsid w:val="00416123"/>
    <w:rsid w:val="004218B4"/>
    <w:rsid w:val="00425568"/>
    <w:rsid w:val="004327A1"/>
    <w:rsid w:val="004367DA"/>
    <w:rsid w:val="0045188D"/>
    <w:rsid w:val="00470A71"/>
    <w:rsid w:val="004758FD"/>
    <w:rsid w:val="0048518D"/>
    <w:rsid w:val="00486281"/>
    <w:rsid w:val="00496082"/>
    <w:rsid w:val="004A42E9"/>
    <w:rsid w:val="004C00B8"/>
    <w:rsid w:val="004D2C8F"/>
    <w:rsid w:val="004D7923"/>
    <w:rsid w:val="004F0755"/>
    <w:rsid w:val="00503B1E"/>
    <w:rsid w:val="005108CA"/>
    <w:rsid w:val="00521AA5"/>
    <w:rsid w:val="00525BC0"/>
    <w:rsid w:val="00562ABC"/>
    <w:rsid w:val="00565105"/>
    <w:rsid w:val="00570B6E"/>
    <w:rsid w:val="00576F2E"/>
    <w:rsid w:val="00587672"/>
    <w:rsid w:val="0058783E"/>
    <w:rsid w:val="00595221"/>
    <w:rsid w:val="005A630F"/>
    <w:rsid w:val="005B1B0D"/>
    <w:rsid w:val="005B6AB7"/>
    <w:rsid w:val="005C7245"/>
    <w:rsid w:val="005F6DA3"/>
    <w:rsid w:val="00626E4A"/>
    <w:rsid w:val="006449F3"/>
    <w:rsid w:val="0065522C"/>
    <w:rsid w:val="006562A3"/>
    <w:rsid w:val="00660783"/>
    <w:rsid w:val="00665588"/>
    <w:rsid w:val="006777F9"/>
    <w:rsid w:val="006878FB"/>
    <w:rsid w:val="00697025"/>
    <w:rsid w:val="006B2212"/>
    <w:rsid w:val="006B2C27"/>
    <w:rsid w:val="006C08A7"/>
    <w:rsid w:val="006C34D2"/>
    <w:rsid w:val="006C3FE9"/>
    <w:rsid w:val="006C48E6"/>
    <w:rsid w:val="006C519F"/>
    <w:rsid w:val="006D2523"/>
    <w:rsid w:val="006E06FB"/>
    <w:rsid w:val="006E0B7A"/>
    <w:rsid w:val="006E34DC"/>
    <w:rsid w:val="006F033D"/>
    <w:rsid w:val="00702120"/>
    <w:rsid w:val="007053C7"/>
    <w:rsid w:val="00707B2A"/>
    <w:rsid w:val="00721FD9"/>
    <w:rsid w:val="00724460"/>
    <w:rsid w:val="00727C83"/>
    <w:rsid w:val="00731B27"/>
    <w:rsid w:val="00732C3F"/>
    <w:rsid w:val="00735714"/>
    <w:rsid w:val="007415AA"/>
    <w:rsid w:val="00742000"/>
    <w:rsid w:val="007472D8"/>
    <w:rsid w:val="00764F64"/>
    <w:rsid w:val="007771EB"/>
    <w:rsid w:val="00792BCE"/>
    <w:rsid w:val="007A2D16"/>
    <w:rsid w:val="007B23B6"/>
    <w:rsid w:val="007B5F2F"/>
    <w:rsid w:val="007C1FE8"/>
    <w:rsid w:val="007C36FC"/>
    <w:rsid w:val="007E0178"/>
    <w:rsid w:val="00802328"/>
    <w:rsid w:val="00805C71"/>
    <w:rsid w:val="008150F4"/>
    <w:rsid w:val="00817EC3"/>
    <w:rsid w:val="00822F95"/>
    <w:rsid w:val="00824A37"/>
    <w:rsid w:val="00834F62"/>
    <w:rsid w:val="00836DD9"/>
    <w:rsid w:val="00853475"/>
    <w:rsid w:val="008601C5"/>
    <w:rsid w:val="00872F87"/>
    <w:rsid w:val="00874AB6"/>
    <w:rsid w:val="00893BED"/>
    <w:rsid w:val="00896541"/>
    <w:rsid w:val="00897F84"/>
    <w:rsid w:val="008A6AD2"/>
    <w:rsid w:val="008B0286"/>
    <w:rsid w:val="008C18F7"/>
    <w:rsid w:val="008C2688"/>
    <w:rsid w:val="008C6DB9"/>
    <w:rsid w:val="008D29FE"/>
    <w:rsid w:val="008D6460"/>
    <w:rsid w:val="008E0078"/>
    <w:rsid w:val="008E6B37"/>
    <w:rsid w:val="008E6FF6"/>
    <w:rsid w:val="008E7BD6"/>
    <w:rsid w:val="008E7D96"/>
    <w:rsid w:val="008F450A"/>
    <w:rsid w:val="008F494A"/>
    <w:rsid w:val="008F4F39"/>
    <w:rsid w:val="00910F06"/>
    <w:rsid w:val="009610C9"/>
    <w:rsid w:val="00984E82"/>
    <w:rsid w:val="00993A2D"/>
    <w:rsid w:val="00994C11"/>
    <w:rsid w:val="00997F5D"/>
    <w:rsid w:val="009A16FC"/>
    <w:rsid w:val="009C330A"/>
    <w:rsid w:val="009C485B"/>
    <w:rsid w:val="009C64FA"/>
    <w:rsid w:val="009E1BE1"/>
    <w:rsid w:val="00A0487E"/>
    <w:rsid w:val="00A04C23"/>
    <w:rsid w:val="00A05FF4"/>
    <w:rsid w:val="00A1298E"/>
    <w:rsid w:val="00A255D5"/>
    <w:rsid w:val="00A268BB"/>
    <w:rsid w:val="00A33562"/>
    <w:rsid w:val="00A344AD"/>
    <w:rsid w:val="00A44CF3"/>
    <w:rsid w:val="00A81DDF"/>
    <w:rsid w:val="00A918E4"/>
    <w:rsid w:val="00AA0AB5"/>
    <w:rsid w:val="00AA4D6E"/>
    <w:rsid w:val="00AC39C9"/>
    <w:rsid w:val="00B0301A"/>
    <w:rsid w:val="00B04A3F"/>
    <w:rsid w:val="00B04B5D"/>
    <w:rsid w:val="00B13384"/>
    <w:rsid w:val="00B16149"/>
    <w:rsid w:val="00B31C05"/>
    <w:rsid w:val="00B33708"/>
    <w:rsid w:val="00B44245"/>
    <w:rsid w:val="00B47E8F"/>
    <w:rsid w:val="00B6048C"/>
    <w:rsid w:val="00B607F4"/>
    <w:rsid w:val="00B72E88"/>
    <w:rsid w:val="00B80746"/>
    <w:rsid w:val="00B831FF"/>
    <w:rsid w:val="00BA24B0"/>
    <w:rsid w:val="00BA5226"/>
    <w:rsid w:val="00BB39E1"/>
    <w:rsid w:val="00BD5263"/>
    <w:rsid w:val="00BE3905"/>
    <w:rsid w:val="00BF5C59"/>
    <w:rsid w:val="00C236FC"/>
    <w:rsid w:val="00C23807"/>
    <w:rsid w:val="00C369F1"/>
    <w:rsid w:val="00C43485"/>
    <w:rsid w:val="00C579D0"/>
    <w:rsid w:val="00C64153"/>
    <w:rsid w:val="00C66DF5"/>
    <w:rsid w:val="00CA098F"/>
    <w:rsid w:val="00CA567B"/>
    <w:rsid w:val="00CB62E1"/>
    <w:rsid w:val="00CB7B42"/>
    <w:rsid w:val="00CC1303"/>
    <w:rsid w:val="00CD31E7"/>
    <w:rsid w:val="00CE5008"/>
    <w:rsid w:val="00CE5FFF"/>
    <w:rsid w:val="00CE636C"/>
    <w:rsid w:val="00D12D81"/>
    <w:rsid w:val="00D25C97"/>
    <w:rsid w:val="00D33127"/>
    <w:rsid w:val="00D35841"/>
    <w:rsid w:val="00D437CE"/>
    <w:rsid w:val="00D5377C"/>
    <w:rsid w:val="00D613F6"/>
    <w:rsid w:val="00D71B26"/>
    <w:rsid w:val="00D75671"/>
    <w:rsid w:val="00D91B57"/>
    <w:rsid w:val="00D932AD"/>
    <w:rsid w:val="00D95453"/>
    <w:rsid w:val="00DB33D3"/>
    <w:rsid w:val="00DB7911"/>
    <w:rsid w:val="00DD1515"/>
    <w:rsid w:val="00DD4109"/>
    <w:rsid w:val="00DD4A59"/>
    <w:rsid w:val="00DD556D"/>
    <w:rsid w:val="00DF2A6C"/>
    <w:rsid w:val="00E0688F"/>
    <w:rsid w:val="00E14BA9"/>
    <w:rsid w:val="00E16928"/>
    <w:rsid w:val="00E17DC0"/>
    <w:rsid w:val="00E228A1"/>
    <w:rsid w:val="00E23B84"/>
    <w:rsid w:val="00E41A51"/>
    <w:rsid w:val="00E4666A"/>
    <w:rsid w:val="00E556F2"/>
    <w:rsid w:val="00E60382"/>
    <w:rsid w:val="00E60DD6"/>
    <w:rsid w:val="00E6537A"/>
    <w:rsid w:val="00E66661"/>
    <w:rsid w:val="00E720AB"/>
    <w:rsid w:val="00E72206"/>
    <w:rsid w:val="00E77C77"/>
    <w:rsid w:val="00E9641E"/>
    <w:rsid w:val="00E97EB8"/>
    <w:rsid w:val="00EB30F7"/>
    <w:rsid w:val="00EB4795"/>
    <w:rsid w:val="00EC1C2F"/>
    <w:rsid w:val="00ED70AC"/>
    <w:rsid w:val="00EE13BD"/>
    <w:rsid w:val="00EE192D"/>
    <w:rsid w:val="00F13251"/>
    <w:rsid w:val="00F178E2"/>
    <w:rsid w:val="00F21740"/>
    <w:rsid w:val="00F2391D"/>
    <w:rsid w:val="00F6458A"/>
    <w:rsid w:val="00F67E12"/>
    <w:rsid w:val="00F70A1B"/>
    <w:rsid w:val="00F71EAE"/>
    <w:rsid w:val="00F7286A"/>
    <w:rsid w:val="00F855E7"/>
    <w:rsid w:val="00FB1F2C"/>
    <w:rsid w:val="00FC2A3E"/>
    <w:rsid w:val="00FC3C80"/>
    <w:rsid w:val="00FD3A0C"/>
    <w:rsid w:val="00FD3CE7"/>
    <w:rsid w:val="00FD6D40"/>
    <w:rsid w:val="00FE5980"/>
    <w:rsid w:val="00FF0321"/>
    <w:rsid w:val="00FF5B21"/>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31E7"/>
    <w:rPr>
      <w:rFonts w:ascii="Calibri" w:hAnsi="Calibri"/>
      <w:sz w:val="24"/>
    </w:rPr>
  </w:style>
  <w:style w:type="paragraph" w:styleId="Nadpis1">
    <w:name w:val="heading 1"/>
    <w:basedOn w:val="Normln"/>
    <w:next w:val="Normln"/>
    <w:link w:val="Nadpis1Char"/>
    <w:uiPriority w:val="9"/>
    <w:qFormat/>
    <w:rsid w:val="00CD31E7"/>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FB1F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E72206"/>
    <w:pPr>
      <w:tabs>
        <w:tab w:val="center" w:pos="4536"/>
        <w:tab w:val="right" w:pos="9072"/>
      </w:tabs>
    </w:pPr>
    <w:rPr>
      <w:rFonts w:ascii="Times New Roman" w:hAnsi="Times New Roman"/>
      <w:lang w:val="en-GB"/>
    </w:rPr>
  </w:style>
  <w:style w:type="paragraph" w:styleId="Zpat">
    <w:name w:val="footer"/>
    <w:basedOn w:val="Normln"/>
    <w:link w:val="ZpatChar"/>
    <w:uiPriority w:val="99"/>
    <w:rsid w:val="00E72206"/>
    <w:pPr>
      <w:tabs>
        <w:tab w:val="center" w:pos="4536"/>
        <w:tab w:val="right" w:pos="9072"/>
      </w:tabs>
    </w:pPr>
    <w:rPr>
      <w:lang w:val="en-US"/>
    </w:rPr>
  </w:style>
  <w:style w:type="character" w:styleId="slostrnky">
    <w:name w:val="page number"/>
    <w:basedOn w:val="Standardnpsmoodstavce"/>
    <w:semiHidden/>
    <w:rsid w:val="00E72206"/>
  </w:style>
  <w:style w:type="paragraph" w:styleId="Titulek">
    <w:name w:val="caption"/>
    <w:basedOn w:val="Normln"/>
    <w:next w:val="Normln"/>
    <w:qFormat/>
    <w:rsid w:val="00E72206"/>
    <w:pPr>
      <w:tabs>
        <w:tab w:val="left" w:pos="8306"/>
      </w:tabs>
      <w:spacing w:before="120"/>
    </w:pPr>
    <w:rPr>
      <w:i/>
      <w:color w:val="4D4D4D"/>
    </w:rPr>
  </w:style>
  <w:style w:type="paragraph" w:styleId="Nzev">
    <w:name w:val="Title"/>
    <w:basedOn w:val="Normln"/>
    <w:qFormat/>
    <w:rsid w:val="00E72206"/>
    <w:pPr>
      <w:jc w:val="center"/>
    </w:pPr>
    <w:rPr>
      <w:b/>
      <w:sz w:val="22"/>
      <w:u w:val="single"/>
    </w:rPr>
  </w:style>
  <w:style w:type="paragraph" w:styleId="Zkladntext">
    <w:name w:val="Body Text"/>
    <w:basedOn w:val="Normln"/>
    <w:semiHidden/>
    <w:rsid w:val="00E72206"/>
    <w:pPr>
      <w:jc w:val="both"/>
    </w:pPr>
    <w:rPr>
      <w:sz w:val="22"/>
    </w:rPr>
  </w:style>
  <w:style w:type="paragraph" w:customStyle="1" w:styleId="A-ZprvaCSP-ods1dek">
    <w:name w:val="A-ZprávaCSP-ods.1.řádek"/>
    <w:basedOn w:val="Normln"/>
    <w:rsid w:val="00E72206"/>
    <w:pPr>
      <w:ind w:firstLine="709"/>
      <w:jc w:val="both"/>
    </w:pPr>
    <w:rPr>
      <w:rFonts w:ascii="Arial Narrow" w:hAnsi="Arial Narrow"/>
    </w:rPr>
  </w:style>
  <w:style w:type="character" w:customStyle="1" w:styleId="WW8Num6z1">
    <w:name w:val="WW8Num6z1"/>
    <w:rsid w:val="00E72206"/>
    <w:rPr>
      <w:rFonts w:ascii="Arial" w:eastAsia="Times New Roman" w:hAnsi="Arial" w:cs="Arial"/>
    </w:rPr>
  </w:style>
  <w:style w:type="character" w:styleId="Siln">
    <w:name w:val="Strong"/>
    <w:uiPriority w:val="22"/>
    <w:qFormat/>
    <w:rsid w:val="00CD31E7"/>
    <w:rPr>
      <w:b/>
      <w:bCs/>
    </w:rPr>
  </w:style>
  <w:style w:type="character" w:customStyle="1" w:styleId="Nadpis1Char">
    <w:name w:val="Nadpis 1 Char"/>
    <w:link w:val="Nadpis1"/>
    <w:uiPriority w:val="9"/>
    <w:rsid w:val="00CD31E7"/>
    <w:rPr>
      <w:rFonts w:ascii="Cambria" w:eastAsia="Times New Roman" w:hAnsi="Cambria" w:cs="Times New Roman"/>
      <w:b/>
      <w:bCs/>
      <w:kern w:val="32"/>
      <w:sz w:val="32"/>
      <w:szCs w:val="32"/>
    </w:rPr>
  </w:style>
  <w:style w:type="character" w:customStyle="1" w:styleId="ZpatChar">
    <w:name w:val="Zápatí Char"/>
    <w:link w:val="Zpat"/>
    <w:uiPriority w:val="99"/>
    <w:rsid w:val="00792BCE"/>
    <w:rPr>
      <w:rFonts w:ascii="Calibri" w:hAnsi="Calibri"/>
      <w:sz w:val="24"/>
      <w:lang w:val="en-US"/>
    </w:rPr>
  </w:style>
  <w:style w:type="paragraph" w:styleId="Textbubliny">
    <w:name w:val="Balloon Text"/>
    <w:basedOn w:val="Normln"/>
    <w:link w:val="TextbublinyChar"/>
    <w:uiPriority w:val="99"/>
    <w:semiHidden/>
    <w:unhideWhenUsed/>
    <w:rsid w:val="00E17DC0"/>
    <w:rPr>
      <w:rFonts w:ascii="Tahoma" w:hAnsi="Tahoma"/>
      <w:sz w:val="16"/>
      <w:szCs w:val="16"/>
    </w:rPr>
  </w:style>
  <w:style w:type="character" w:customStyle="1" w:styleId="TextbublinyChar">
    <w:name w:val="Text bubliny Char"/>
    <w:link w:val="Textbubliny"/>
    <w:uiPriority w:val="99"/>
    <w:semiHidden/>
    <w:rsid w:val="00E17DC0"/>
    <w:rPr>
      <w:rFonts w:ascii="Tahoma" w:hAnsi="Tahoma" w:cs="Tahoma"/>
      <w:sz w:val="16"/>
      <w:szCs w:val="16"/>
    </w:rPr>
  </w:style>
  <w:style w:type="character" w:styleId="Hypertextovodkaz">
    <w:name w:val="Hyperlink"/>
    <w:basedOn w:val="Standardnpsmoodstavce"/>
    <w:uiPriority w:val="99"/>
    <w:unhideWhenUsed/>
    <w:rsid w:val="007C1FE8"/>
    <w:rPr>
      <w:color w:val="0000FF"/>
      <w:u w:val="single"/>
    </w:rPr>
  </w:style>
  <w:style w:type="character" w:styleId="Odkaznakoment">
    <w:name w:val="annotation reference"/>
    <w:basedOn w:val="Standardnpsmoodstavce"/>
    <w:uiPriority w:val="99"/>
    <w:semiHidden/>
    <w:unhideWhenUsed/>
    <w:rsid w:val="00B16149"/>
    <w:rPr>
      <w:sz w:val="16"/>
      <w:szCs w:val="16"/>
    </w:rPr>
  </w:style>
  <w:style w:type="paragraph" w:styleId="Textkomente">
    <w:name w:val="annotation text"/>
    <w:basedOn w:val="Normln"/>
    <w:link w:val="TextkomenteChar"/>
    <w:uiPriority w:val="99"/>
    <w:semiHidden/>
    <w:unhideWhenUsed/>
    <w:rsid w:val="00B16149"/>
    <w:rPr>
      <w:sz w:val="20"/>
    </w:rPr>
  </w:style>
  <w:style w:type="character" w:customStyle="1" w:styleId="TextkomenteChar">
    <w:name w:val="Text komentáře Char"/>
    <w:basedOn w:val="Standardnpsmoodstavce"/>
    <w:link w:val="Textkomente"/>
    <w:uiPriority w:val="99"/>
    <w:semiHidden/>
    <w:rsid w:val="00B16149"/>
    <w:rPr>
      <w:rFonts w:ascii="Calibri" w:hAnsi="Calibri"/>
    </w:rPr>
  </w:style>
  <w:style w:type="paragraph" w:styleId="Pedmtkomente">
    <w:name w:val="annotation subject"/>
    <w:basedOn w:val="Textkomente"/>
    <w:next w:val="Textkomente"/>
    <w:link w:val="PedmtkomenteChar"/>
    <w:uiPriority w:val="99"/>
    <w:semiHidden/>
    <w:unhideWhenUsed/>
    <w:rsid w:val="00B16149"/>
    <w:rPr>
      <w:b/>
      <w:bCs/>
    </w:rPr>
  </w:style>
  <w:style w:type="character" w:customStyle="1" w:styleId="PedmtkomenteChar">
    <w:name w:val="Předmět komentáře Char"/>
    <w:basedOn w:val="TextkomenteChar"/>
    <w:link w:val="Pedmtkomente"/>
    <w:uiPriority w:val="99"/>
    <w:semiHidden/>
    <w:rsid w:val="00B16149"/>
    <w:rPr>
      <w:rFonts w:ascii="Calibri" w:hAnsi="Calibri"/>
      <w:b/>
      <w:bCs/>
    </w:rPr>
  </w:style>
  <w:style w:type="paragraph" w:styleId="Odstavecseseznamem">
    <w:name w:val="List Paragraph"/>
    <w:basedOn w:val="Normln"/>
    <w:uiPriority w:val="34"/>
    <w:qFormat/>
    <w:rsid w:val="00E23B84"/>
    <w:pPr>
      <w:ind w:left="720"/>
      <w:contextualSpacing/>
    </w:pPr>
  </w:style>
  <w:style w:type="paragraph" w:styleId="Normlnweb">
    <w:name w:val="Normal (Web)"/>
    <w:basedOn w:val="Normln"/>
    <w:uiPriority w:val="99"/>
    <w:semiHidden/>
    <w:unhideWhenUsed/>
    <w:rsid w:val="00FB1F2C"/>
    <w:pPr>
      <w:spacing w:before="100" w:beforeAutospacing="1" w:after="100" w:afterAutospacing="1"/>
    </w:pPr>
    <w:rPr>
      <w:rFonts w:ascii="Times New Roman" w:hAnsi="Times New Roman"/>
      <w:szCs w:val="24"/>
    </w:rPr>
  </w:style>
  <w:style w:type="character" w:styleId="Zvraznn">
    <w:name w:val="Emphasis"/>
    <w:basedOn w:val="Standardnpsmoodstavce"/>
    <w:uiPriority w:val="20"/>
    <w:qFormat/>
    <w:rsid w:val="00FB1F2C"/>
    <w:rPr>
      <w:i/>
      <w:iCs/>
    </w:rPr>
  </w:style>
  <w:style w:type="character" w:customStyle="1" w:styleId="apple-converted-space">
    <w:name w:val="apple-converted-space"/>
    <w:basedOn w:val="Standardnpsmoodstavce"/>
    <w:rsid w:val="00FB1F2C"/>
  </w:style>
  <w:style w:type="character" w:customStyle="1" w:styleId="Nadpis2Char">
    <w:name w:val="Nadpis 2 Char"/>
    <w:basedOn w:val="Standardnpsmoodstavce"/>
    <w:link w:val="Nadpis2"/>
    <w:uiPriority w:val="9"/>
    <w:semiHidden/>
    <w:rsid w:val="00FB1F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31E7"/>
    <w:rPr>
      <w:rFonts w:ascii="Calibri" w:hAnsi="Calibri"/>
      <w:sz w:val="24"/>
    </w:rPr>
  </w:style>
  <w:style w:type="paragraph" w:styleId="Nadpis1">
    <w:name w:val="heading 1"/>
    <w:basedOn w:val="Normln"/>
    <w:next w:val="Normln"/>
    <w:link w:val="Nadpis1Char"/>
    <w:uiPriority w:val="9"/>
    <w:qFormat/>
    <w:rsid w:val="00CD31E7"/>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FB1F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E72206"/>
    <w:pPr>
      <w:tabs>
        <w:tab w:val="center" w:pos="4536"/>
        <w:tab w:val="right" w:pos="9072"/>
      </w:tabs>
    </w:pPr>
    <w:rPr>
      <w:rFonts w:ascii="Times New Roman" w:hAnsi="Times New Roman"/>
      <w:lang w:val="en-GB"/>
    </w:rPr>
  </w:style>
  <w:style w:type="paragraph" w:styleId="Zpat">
    <w:name w:val="footer"/>
    <w:basedOn w:val="Normln"/>
    <w:link w:val="ZpatChar"/>
    <w:uiPriority w:val="99"/>
    <w:rsid w:val="00E72206"/>
    <w:pPr>
      <w:tabs>
        <w:tab w:val="center" w:pos="4536"/>
        <w:tab w:val="right" w:pos="9072"/>
      </w:tabs>
    </w:pPr>
    <w:rPr>
      <w:lang w:val="en-US"/>
    </w:rPr>
  </w:style>
  <w:style w:type="character" w:styleId="slostrnky">
    <w:name w:val="page number"/>
    <w:basedOn w:val="Standardnpsmoodstavce"/>
    <w:semiHidden/>
    <w:rsid w:val="00E72206"/>
  </w:style>
  <w:style w:type="paragraph" w:styleId="Titulek">
    <w:name w:val="caption"/>
    <w:basedOn w:val="Normln"/>
    <w:next w:val="Normln"/>
    <w:qFormat/>
    <w:rsid w:val="00E72206"/>
    <w:pPr>
      <w:tabs>
        <w:tab w:val="left" w:pos="8306"/>
      </w:tabs>
      <w:spacing w:before="120"/>
    </w:pPr>
    <w:rPr>
      <w:i/>
      <w:color w:val="4D4D4D"/>
    </w:rPr>
  </w:style>
  <w:style w:type="paragraph" w:styleId="Nzev">
    <w:name w:val="Title"/>
    <w:basedOn w:val="Normln"/>
    <w:qFormat/>
    <w:rsid w:val="00E72206"/>
    <w:pPr>
      <w:jc w:val="center"/>
    </w:pPr>
    <w:rPr>
      <w:b/>
      <w:sz w:val="22"/>
      <w:u w:val="single"/>
    </w:rPr>
  </w:style>
  <w:style w:type="paragraph" w:styleId="Zkladntext">
    <w:name w:val="Body Text"/>
    <w:basedOn w:val="Normln"/>
    <w:semiHidden/>
    <w:rsid w:val="00E72206"/>
    <w:pPr>
      <w:jc w:val="both"/>
    </w:pPr>
    <w:rPr>
      <w:sz w:val="22"/>
    </w:rPr>
  </w:style>
  <w:style w:type="paragraph" w:customStyle="1" w:styleId="A-ZprvaCSP-ods1dek">
    <w:name w:val="A-ZprávaCSP-ods.1.řádek"/>
    <w:basedOn w:val="Normln"/>
    <w:rsid w:val="00E72206"/>
    <w:pPr>
      <w:ind w:firstLine="709"/>
      <w:jc w:val="both"/>
    </w:pPr>
    <w:rPr>
      <w:rFonts w:ascii="Arial Narrow" w:hAnsi="Arial Narrow"/>
    </w:rPr>
  </w:style>
  <w:style w:type="character" w:customStyle="1" w:styleId="WW8Num6z1">
    <w:name w:val="WW8Num6z1"/>
    <w:rsid w:val="00E72206"/>
    <w:rPr>
      <w:rFonts w:ascii="Arial" w:eastAsia="Times New Roman" w:hAnsi="Arial" w:cs="Arial"/>
    </w:rPr>
  </w:style>
  <w:style w:type="character" w:styleId="Siln">
    <w:name w:val="Strong"/>
    <w:uiPriority w:val="22"/>
    <w:qFormat/>
    <w:rsid w:val="00CD31E7"/>
    <w:rPr>
      <w:b/>
      <w:bCs/>
    </w:rPr>
  </w:style>
  <w:style w:type="character" w:customStyle="1" w:styleId="Nadpis1Char">
    <w:name w:val="Nadpis 1 Char"/>
    <w:link w:val="Nadpis1"/>
    <w:uiPriority w:val="9"/>
    <w:rsid w:val="00CD31E7"/>
    <w:rPr>
      <w:rFonts w:ascii="Cambria" w:eastAsia="Times New Roman" w:hAnsi="Cambria" w:cs="Times New Roman"/>
      <w:b/>
      <w:bCs/>
      <w:kern w:val="32"/>
      <w:sz w:val="32"/>
      <w:szCs w:val="32"/>
    </w:rPr>
  </w:style>
  <w:style w:type="character" w:customStyle="1" w:styleId="ZpatChar">
    <w:name w:val="Zápatí Char"/>
    <w:link w:val="Zpat"/>
    <w:uiPriority w:val="99"/>
    <w:rsid w:val="00792BCE"/>
    <w:rPr>
      <w:rFonts w:ascii="Calibri" w:hAnsi="Calibri"/>
      <w:sz w:val="24"/>
      <w:lang w:val="en-US"/>
    </w:rPr>
  </w:style>
  <w:style w:type="paragraph" w:styleId="Textbubliny">
    <w:name w:val="Balloon Text"/>
    <w:basedOn w:val="Normln"/>
    <w:link w:val="TextbublinyChar"/>
    <w:uiPriority w:val="99"/>
    <w:semiHidden/>
    <w:unhideWhenUsed/>
    <w:rsid w:val="00E17DC0"/>
    <w:rPr>
      <w:rFonts w:ascii="Tahoma" w:hAnsi="Tahoma"/>
      <w:sz w:val="16"/>
      <w:szCs w:val="16"/>
    </w:rPr>
  </w:style>
  <w:style w:type="character" w:customStyle="1" w:styleId="TextbublinyChar">
    <w:name w:val="Text bubliny Char"/>
    <w:link w:val="Textbubliny"/>
    <w:uiPriority w:val="99"/>
    <w:semiHidden/>
    <w:rsid w:val="00E17DC0"/>
    <w:rPr>
      <w:rFonts w:ascii="Tahoma" w:hAnsi="Tahoma" w:cs="Tahoma"/>
      <w:sz w:val="16"/>
      <w:szCs w:val="16"/>
    </w:rPr>
  </w:style>
  <w:style w:type="character" w:styleId="Hypertextovodkaz">
    <w:name w:val="Hyperlink"/>
    <w:basedOn w:val="Standardnpsmoodstavce"/>
    <w:uiPriority w:val="99"/>
    <w:unhideWhenUsed/>
    <w:rsid w:val="007C1FE8"/>
    <w:rPr>
      <w:color w:val="0000FF"/>
      <w:u w:val="single"/>
    </w:rPr>
  </w:style>
  <w:style w:type="character" w:styleId="Odkaznakoment">
    <w:name w:val="annotation reference"/>
    <w:basedOn w:val="Standardnpsmoodstavce"/>
    <w:uiPriority w:val="99"/>
    <w:semiHidden/>
    <w:unhideWhenUsed/>
    <w:rsid w:val="00B16149"/>
    <w:rPr>
      <w:sz w:val="16"/>
      <w:szCs w:val="16"/>
    </w:rPr>
  </w:style>
  <w:style w:type="paragraph" w:styleId="Textkomente">
    <w:name w:val="annotation text"/>
    <w:basedOn w:val="Normln"/>
    <w:link w:val="TextkomenteChar"/>
    <w:uiPriority w:val="99"/>
    <w:semiHidden/>
    <w:unhideWhenUsed/>
    <w:rsid w:val="00B16149"/>
    <w:rPr>
      <w:sz w:val="20"/>
    </w:rPr>
  </w:style>
  <w:style w:type="character" w:customStyle="1" w:styleId="TextkomenteChar">
    <w:name w:val="Text komentáře Char"/>
    <w:basedOn w:val="Standardnpsmoodstavce"/>
    <w:link w:val="Textkomente"/>
    <w:uiPriority w:val="99"/>
    <w:semiHidden/>
    <w:rsid w:val="00B16149"/>
    <w:rPr>
      <w:rFonts w:ascii="Calibri" w:hAnsi="Calibri"/>
    </w:rPr>
  </w:style>
  <w:style w:type="paragraph" w:styleId="Pedmtkomente">
    <w:name w:val="annotation subject"/>
    <w:basedOn w:val="Textkomente"/>
    <w:next w:val="Textkomente"/>
    <w:link w:val="PedmtkomenteChar"/>
    <w:uiPriority w:val="99"/>
    <w:semiHidden/>
    <w:unhideWhenUsed/>
    <w:rsid w:val="00B16149"/>
    <w:rPr>
      <w:b/>
      <w:bCs/>
    </w:rPr>
  </w:style>
  <w:style w:type="character" w:customStyle="1" w:styleId="PedmtkomenteChar">
    <w:name w:val="Předmět komentáře Char"/>
    <w:basedOn w:val="TextkomenteChar"/>
    <w:link w:val="Pedmtkomente"/>
    <w:uiPriority w:val="99"/>
    <w:semiHidden/>
    <w:rsid w:val="00B16149"/>
    <w:rPr>
      <w:rFonts w:ascii="Calibri" w:hAnsi="Calibri"/>
      <w:b/>
      <w:bCs/>
    </w:rPr>
  </w:style>
  <w:style w:type="paragraph" w:styleId="Odstavecseseznamem">
    <w:name w:val="List Paragraph"/>
    <w:basedOn w:val="Normln"/>
    <w:uiPriority w:val="34"/>
    <w:qFormat/>
    <w:rsid w:val="00E23B84"/>
    <w:pPr>
      <w:ind w:left="720"/>
      <w:contextualSpacing/>
    </w:pPr>
  </w:style>
  <w:style w:type="paragraph" w:styleId="Normlnweb">
    <w:name w:val="Normal (Web)"/>
    <w:basedOn w:val="Normln"/>
    <w:uiPriority w:val="99"/>
    <w:semiHidden/>
    <w:unhideWhenUsed/>
    <w:rsid w:val="00FB1F2C"/>
    <w:pPr>
      <w:spacing w:before="100" w:beforeAutospacing="1" w:after="100" w:afterAutospacing="1"/>
    </w:pPr>
    <w:rPr>
      <w:rFonts w:ascii="Times New Roman" w:hAnsi="Times New Roman"/>
      <w:szCs w:val="24"/>
    </w:rPr>
  </w:style>
  <w:style w:type="character" w:styleId="Zvraznn">
    <w:name w:val="Emphasis"/>
    <w:basedOn w:val="Standardnpsmoodstavce"/>
    <w:uiPriority w:val="20"/>
    <w:qFormat/>
    <w:rsid w:val="00FB1F2C"/>
    <w:rPr>
      <w:i/>
      <w:iCs/>
    </w:rPr>
  </w:style>
  <w:style w:type="character" w:customStyle="1" w:styleId="apple-converted-space">
    <w:name w:val="apple-converted-space"/>
    <w:basedOn w:val="Standardnpsmoodstavce"/>
    <w:rsid w:val="00FB1F2C"/>
  </w:style>
  <w:style w:type="character" w:customStyle="1" w:styleId="Nadpis2Char">
    <w:name w:val="Nadpis 2 Char"/>
    <w:basedOn w:val="Standardnpsmoodstavce"/>
    <w:link w:val="Nadpis2"/>
    <w:uiPriority w:val="9"/>
    <w:semiHidden/>
    <w:rsid w:val="00FB1F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70520">
      <w:bodyDiv w:val="1"/>
      <w:marLeft w:val="0"/>
      <w:marRight w:val="0"/>
      <w:marTop w:val="0"/>
      <w:marBottom w:val="0"/>
      <w:divBdr>
        <w:top w:val="none" w:sz="0" w:space="0" w:color="auto"/>
        <w:left w:val="none" w:sz="0" w:space="0" w:color="auto"/>
        <w:bottom w:val="none" w:sz="0" w:space="0" w:color="auto"/>
        <w:right w:val="none" w:sz="0" w:space="0" w:color="auto"/>
      </w:divBdr>
    </w:div>
    <w:div w:id="549921497">
      <w:bodyDiv w:val="1"/>
      <w:marLeft w:val="0"/>
      <w:marRight w:val="0"/>
      <w:marTop w:val="0"/>
      <w:marBottom w:val="0"/>
      <w:divBdr>
        <w:top w:val="none" w:sz="0" w:space="0" w:color="auto"/>
        <w:left w:val="none" w:sz="0" w:space="0" w:color="auto"/>
        <w:bottom w:val="none" w:sz="0" w:space="0" w:color="auto"/>
        <w:right w:val="none" w:sz="0" w:space="0" w:color="auto"/>
      </w:divBdr>
    </w:div>
    <w:div w:id="1031301008">
      <w:bodyDiv w:val="1"/>
      <w:marLeft w:val="0"/>
      <w:marRight w:val="0"/>
      <w:marTop w:val="0"/>
      <w:marBottom w:val="0"/>
      <w:divBdr>
        <w:top w:val="none" w:sz="0" w:space="0" w:color="auto"/>
        <w:left w:val="none" w:sz="0" w:space="0" w:color="auto"/>
        <w:bottom w:val="none" w:sz="0" w:space="0" w:color="auto"/>
        <w:right w:val="none" w:sz="0" w:space="0" w:color="auto"/>
      </w:divBdr>
    </w:div>
    <w:div w:id="1266881305">
      <w:bodyDiv w:val="1"/>
      <w:marLeft w:val="0"/>
      <w:marRight w:val="0"/>
      <w:marTop w:val="0"/>
      <w:marBottom w:val="0"/>
      <w:divBdr>
        <w:top w:val="none" w:sz="0" w:space="0" w:color="auto"/>
        <w:left w:val="none" w:sz="0" w:space="0" w:color="auto"/>
        <w:bottom w:val="none" w:sz="0" w:space="0" w:color="auto"/>
        <w:right w:val="none" w:sz="0" w:space="0" w:color="auto"/>
      </w:divBdr>
      <w:divsChild>
        <w:div w:id="501240133">
          <w:marLeft w:val="274"/>
          <w:marRight w:val="0"/>
          <w:marTop w:val="0"/>
          <w:marBottom w:val="0"/>
          <w:divBdr>
            <w:top w:val="none" w:sz="0" w:space="0" w:color="auto"/>
            <w:left w:val="none" w:sz="0" w:space="0" w:color="auto"/>
            <w:bottom w:val="none" w:sz="0" w:space="0" w:color="auto"/>
            <w:right w:val="none" w:sz="0" w:space="0" w:color="auto"/>
          </w:divBdr>
        </w:div>
        <w:div w:id="252011531">
          <w:marLeft w:val="274"/>
          <w:marRight w:val="0"/>
          <w:marTop w:val="0"/>
          <w:marBottom w:val="0"/>
          <w:divBdr>
            <w:top w:val="none" w:sz="0" w:space="0" w:color="auto"/>
            <w:left w:val="none" w:sz="0" w:space="0" w:color="auto"/>
            <w:bottom w:val="none" w:sz="0" w:space="0" w:color="auto"/>
            <w:right w:val="none" w:sz="0" w:space="0" w:color="auto"/>
          </w:divBdr>
        </w:div>
        <w:div w:id="2025477140">
          <w:marLeft w:val="274"/>
          <w:marRight w:val="0"/>
          <w:marTop w:val="0"/>
          <w:marBottom w:val="0"/>
          <w:divBdr>
            <w:top w:val="none" w:sz="0" w:space="0" w:color="auto"/>
            <w:left w:val="none" w:sz="0" w:space="0" w:color="auto"/>
            <w:bottom w:val="none" w:sz="0" w:space="0" w:color="auto"/>
            <w:right w:val="none" w:sz="0" w:space="0" w:color="auto"/>
          </w:divBdr>
        </w:div>
        <w:div w:id="1092244902">
          <w:marLeft w:val="274"/>
          <w:marRight w:val="0"/>
          <w:marTop w:val="0"/>
          <w:marBottom w:val="0"/>
          <w:divBdr>
            <w:top w:val="none" w:sz="0" w:space="0" w:color="auto"/>
            <w:left w:val="none" w:sz="0" w:space="0" w:color="auto"/>
            <w:bottom w:val="none" w:sz="0" w:space="0" w:color="auto"/>
            <w:right w:val="none" w:sz="0" w:space="0" w:color="auto"/>
          </w:divBdr>
        </w:div>
        <w:div w:id="42871964">
          <w:marLeft w:val="288"/>
          <w:marRight w:val="0"/>
          <w:marTop w:val="0"/>
          <w:marBottom w:val="0"/>
          <w:divBdr>
            <w:top w:val="none" w:sz="0" w:space="0" w:color="auto"/>
            <w:left w:val="none" w:sz="0" w:space="0" w:color="auto"/>
            <w:bottom w:val="none" w:sz="0" w:space="0" w:color="auto"/>
            <w:right w:val="none" w:sz="0" w:space="0" w:color="auto"/>
          </w:divBdr>
        </w:div>
        <w:div w:id="607472370">
          <w:marLeft w:val="1296"/>
          <w:marRight w:val="0"/>
          <w:marTop w:val="0"/>
          <w:marBottom w:val="0"/>
          <w:divBdr>
            <w:top w:val="none" w:sz="0" w:space="0" w:color="auto"/>
            <w:left w:val="none" w:sz="0" w:space="0" w:color="auto"/>
            <w:bottom w:val="none" w:sz="0" w:space="0" w:color="auto"/>
            <w:right w:val="none" w:sz="0" w:space="0" w:color="auto"/>
          </w:divBdr>
        </w:div>
        <w:div w:id="1813014690">
          <w:marLeft w:val="1296"/>
          <w:marRight w:val="0"/>
          <w:marTop w:val="0"/>
          <w:marBottom w:val="0"/>
          <w:divBdr>
            <w:top w:val="none" w:sz="0" w:space="0" w:color="auto"/>
            <w:left w:val="none" w:sz="0" w:space="0" w:color="auto"/>
            <w:bottom w:val="none" w:sz="0" w:space="0" w:color="auto"/>
            <w:right w:val="none" w:sz="0" w:space="0" w:color="auto"/>
          </w:divBdr>
        </w:div>
        <w:div w:id="2127967053">
          <w:marLeft w:val="288"/>
          <w:marRight w:val="0"/>
          <w:marTop w:val="0"/>
          <w:marBottom w:val="0"/>
          <w:divBdr>
            <w:top w:val="none" w:sz="0" w:space="0" w:color="auto"/>
            <w:left w:val="none" w:sz="0" w:space="0" w:color="auto"/>
            <w:bottom w:val="none" w:sz="0" w:space="0" w:color="auto"/>
            <w:right w:val="none" w:sz="0" w:space="0" w:color="auto"/>
          </w:divBdr>
        </w:div>
        <w:div w:id="784159271">
          <w:marLeft w:val="1296"/>
          <w:marRight w:val="0"/>
          <w:marTop w:val="0"/>
          <w:marBottom w:val="0"/>
          <w:divBdr>
            <w:top w:val="none" w:sz="0" w:space="0" w:color="auto"/>
            <w:left w:val="none" w:sz="0" w:space="0" w:color="auto"/>
            <w:bottom w:val="none" w:sz="0" w:space="0" w:color="auto"/>
            <w:right w:val="none" w:sz="0" w:space="0" w:color="auto"/>
          </w:divBdr>
        </w:div>
      </w:divsChild>
    </w:div>
    <w:div w:id="1319571589">
      <w:bodyDiv w:val="1"/>
      <w:marLeft w:val="0"/>
      <w:marRight w:val="0"/>
      <w:marTop w:val="0"/>
      <w:marBottom w:val="0"/>
      <w:divBdr>
        <w:top w:val="none" w:sz="0" w:space="0" w:color="auto"/>
        <w:left w:val="none" w:sz="0" w:space="0" w:color="auto"/>
        <w:bottom w:val="none" w:sz="0" w:space="0" w:color="auto"/>
        <w:right w:val="none" w:sz="0" w:space="0" w:color="auto"/>
      </w:divBdr>
    </w:div>
    <w:div w:id="1459907341">
      <w:bodyDiv w:val="1"/>
      <w:marLeft w:val="0"/>
      <w:marRight w:val="0"/>
      <w:marTop w:val="0"/>
      <w:marBottom w:val="0"/>
      <w:divBdr>
        <w:top w:val="none" w:sz="0" w:space="0" w:color="auto"/>
        <w:left w:val="none" w:sz="0" w:space="0" w:color="auto"/>
        <w:bottom w:val="none" w:sz="0" w:space="0" w:color="auto"/>
        <w:right w:val="none" w:sz="0" w:space="0" w:color="auto"/>
      </w:divBdr>
    </w:div>
    <w:div w:id="1849563311">
      <w:bodyDiv w:val="1"/>
      <w:marLeft w:val="0"/>
      <w:marRight w:val="0"/>
      <w:marTop w:val="0"/>
      <w:marBottom w:val="0"/>
      <w:divBdr>
        <w:top w:val="none" w:sz="0" w:space="0" w:color="auto"/>
        <w:left w:val="none" w:sz="0" w:space="0" w:color="auto"/>
        <w:bottom w:val="none" w:sz="0" w:space="0" w:color="auto"/>
        <w:right w:val="none" w:sz="0" w:space="0" w:color="auto"/>
      </w:divBdr>
      <w:divsChild>
        <w:div w:id="1592466203">
          <w:marLeft w:val="0"/>
          <w:marRight w:val="0"/>
          <w:marTop w:val="0"/>
          <w:marBottom w:val="360"/>
          <w:divBdr>
            <w:top w:val="single" w:sz="12" w:space="0" w:color="292929"/>
            <w:left w:val="single" w:sz="12" w:space="0" w:color="292929"/>
            <w:bottom w:val="single" w:sz="12" w:space="0" w:color="292929"/>
            <w:right w:val="single" w:sz="12" w:space="0" w:color="292929"/>
          </w:divBdr>
          <w:divsChild>
            <w:div w:id="213351924">
              <w:marLeft w:val="0"/>
              <w:marRight w:val="0"/>
              <w:marTop w:val="0"/>
              <w:marBottom w:val="0"/>
              <w:divBdr>
                <w:top w:val="none" w:sz="0" w:space="0" w:color="auto"/>
                <w:left w:val="none" w:sz="0" w:space="0" w:color="auto"/>
                <w:bottom w:val="none" w:sz="0" w:space="0" w:color="auto"/>
                <w:right w:val="none" w:sz="0" w:space="0" w:color="auto"/>
              </w:divBdr>
            </w:div>
            <w:div w:id="8886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0807">
      <w:bodyDiv w:val="1"/>
      <w:marLeft w:val="0"/>
      <w:marRight w:val="0"/>
      <w:marTop w:val="0"/>
      <w:marBottom w:val="0"/>
      <w:divBdr>
        <w:top w:val="none" w:sz="0" w:space="0" w:color="auto"/>
        <w:left w:val="none" w:sz="0" w:space="0" w:color="auto"/>
        <w:bottom w:val="none" w:sz="0" w:space="0" w:color="auto"/>
        <w:right w:val="none" w:sz="0" w:space="0" w:color="auto"/>
      </w:divBdr>
    </w:div>
    <w:div w:id="20121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esou@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vigator@eeip.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EEIP%20dopisy\dopis-eeip-c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C4B0-5040-43BB-B488-190BC7F3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dopis-eeip-cz.dot</Template>
  <TotalTime>0</TotalTime>
  <Pages>3</Pages>
  <Words>1253</Words>
  <Characters>7399</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EEIP: Dopis Národní česky</vt:lpstr>
      <vt:lpstr>Šablona EEIP: Dopis Národní česky</vt:lpstr>
    </vt:vector>
  </TitlesOfParts>
  <Company>EEIP a.s.</Company>
  <LinksUpToDate>false</LinksUpToDate>
  <CharactersWithSpaces>8635</CharactersWithSpaces>
  <SharedDoc>false</SharedDoc>
  <HLinks>
    <vt:vector size="12" baseType="variant">
      <vt:variant>
        <vt:i4>1507361</vt:i4>
      </vt:variant>
      <vt:variant>
        <vt:i4>3</vt:i4>
      </vt:variant>
      <vt:variant>
        <vt:i4>0</vt:i4>
      </vt:variant>
      <vt:variant>
        <vt:i4>5</vt:i4>
      </vt:variant>
      <vt:variant>
        <vt:lpwstr>mailto:zdesou@gmail.com</vt:lpwstr>
      </vt:variant>
      <vt:variant>
        <vt:lpwstr/>
      </vt:variant>
      <vt:variant>
        <vt:i4>4391034</vt:i4>
      </vt:variant>
      <vt:variant>
        <vt:i4>0</vt:i4>
      </vt:variant>
      <vt:variant>
        <vt:i4>0</vt:i4>
      </vt:variant>
      <vt:variant>
        <vt:i4>5</vt:i4>
      </vt:variant>
      <vt:variant>
        <vt:lpwstr>mailto:navigator@eeip.cz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EEIP: Dopis Národní česky</dc:title>
  <dc:creator>ZdeSou</dc:creator>
  <cp:lastModifiedBy>Matěj</cp:lastModifiedBy>
  <cp:revision>2</cp:revision>
  <cp:lastPrinted>2013-08-19T14:35:00Z</cp:lastPrinted>
  <dcterms:created xsi:type="dcterms:W3CDTF">2014-12-22T10:01:00Z</dcterms:created>
  <dcterms:modified xsi:type="dcterms:W3CDTF">2014-12-22T10:01:00Z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