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32A5" w:rsidRPr="009A110B" w:rsidRDefault="006732A5" w:rsidP="006732A5">
      <w:pPr>
        <w:pStyle w:val="Nzev"/>
        <w:spacing w:line="360" w:lineRule="auto"/>
        <w:jc w:val="both"/>
        <w:rPr>
          <w:sz w:val="28"/>
          <w:szCs w:val="28"/>
        </w:rPr>
      </w:pPr>
      <w:r w:rsidRPr="009A110B">
        <w:rPr>
          <w:sz w:val="28"/>
          <w:szCs w:val="28"/>
        </w:rPr>
        <w:t>STUDIE</w:t>
      </w:r>
      <w:r>
        <w:rPr>
          <w:sz w:val="28"/>
          <w:szCs w:val="28"/>
        </w:rPr>
        <w:t>: ČESKÁ INTERNETOVÁ</w:t>
      </w:r>
      <w:r w:rsidRPr="009A110B">
        <w:rPr>
          <w:sz w:val="28"/>
          <w:szCs w:val="28"/>
        </w:rPr>
        <w:t xml:space="preserve"> EKONOMI</w:t>
      </w:r>
      <w:r>
        <w:rPr>
          <w:sz w:val="28"/>
          <w:szCs w:val="28"/>
        </w:rPr>
        <w:t>KA</w:t>
      </w:r>
      <w:r w:rsidRPr="009A110B">
        <w:rPr>
          <w:sz w:val="28"/>
          <w:szCs w:val="28"/>
        </w:rPr>
        <w:t xml:space="preserve"> </w:t>
      </w:r>
    </w:p>
    <w:p w:rsidR="006E360A" w:rsidRDefault="006E360A" w:rsidP="006E360A">
      <w:pPr>
        <w:pStyle w:val="Nadpis1"/>
        <w:numPr>
          <w:ilvl w:val="0"/>
          <w:numId w:val="0"/>
        </w:numPr>
        <w:ind w:left="574"/>
      </w:pPr>
    </w:p>
    <w:p w:rsidR="006E360A" w:rsidRDefault="006E360A" w:rsidP="006E360A"/>
    <w:p w:rsidR="006E360A" w:rsidRDefault="006E360A" w:rsidP="006E360A"/>
    <w:p w:rsidR="006E360A" w:rsidRDefault="006E360A" w:rsidP="006E360A"/>
    <w:p w:rsidR="006E360A" w:rsidRDefault="006E360A" w:rsidP="006E360A"/>
    <w:p w:rsidR="006E360A" w:rsidRDefault="006E360A" w:rsidP="006E360A"/>
    <w:p w:rsidR="006E360A" w:rsidRDefault="006E360A" w:rsidP="006E360A"/>
    <w:p w:rsidR="006E360A" w:rsidRDefault="006E360A" w:rsidP="006E360A"/>
    <w:p w:rsidR="006E360A" w:rsidRDefault="006E360A" w:rsidP="006E360A"/>
    <w:p w:rsidR="006E360A" w:rsidRDefault="006E360A" w:rsidP="006E360A"/>
    <w:p w:rsidR="006E360A" w:rsidRDefault="006E360A" w:rsidP="006E360A"/>
    <w:p w:rsidR="006E360A" w:rsidRDefault="006E360A" w:rsidP="006E360A"/>
    <w:p w:rsidR="006E360A" w:rsidRDefault="006E360A" w:rsidP="006E360A"/>
    <w:p w:rsidR="006E360A" w:rsidRDefault="006E360A" w:rsidP="006E360A"/>
    <w:p w:rsidR="006E360A" w:rsidRDefault="006E360A" w:rsidP="006E360A"/>
    <w:p w:rsidR="006E360A" w:rsidRDefault="006E360A" w:rsidP="006E360A"/>
    <w:p w:rsidR="006E360A" w:rsidRDefault="006E360A" w:rsidP="006E360A"/>
    <w:p w:rsidR="006E360A" w:rsidRDefault="006E360A" w:rsidP="006E360A"/>
    <w:p w:rsidR="006E360A" w:rsidRDefault="006E360A" w:rsidP="006E360A"/>
    <w:p w:rsidR="006E360A" w:rsidRDefault="006E360A" w:rsidP="006E360A"/>
    <w:p w:rsidR="006E360A" w:rsidRDefault="006E360A" w:rsidP="006E360A"/>
    <w:p w:rsidR="006E360A" w:rsidRDefault="006E360A" w:rsidP="006E360A"/>
    <w:p w:rsidR="006E360A" w:rsidRDefault="006E360A" w:rsidP="006E360A"/>
    <w:p w:rsidR="006E360A" w:rsidRDefault="006E360A" w:rsidP="006E360A"/>
    <w:p w:rsidR="006E360A" w:rsidRDefault="006E360A" w:rsidP="006E360A"/>
    <w:p w:rsidR="006E360A" w:rsidRDefault="006E360A" w:rsidP="006E360A"/>
    <w:p w:rsidR="006E360A" w:rsidRDefault="006E360A" w:rsidP="006E360A"/>
    <w:p w:rsidR="006E360A" w:rsidRDefault="006E360A" w:rsidP="006E360A"/>
    <w:p w:rsidR="006E360A" w:rsidRDefault="006E360A" w:rsidP="006E360A"/>
    <w:p w:rsidR="006E360A" w:rsidRDefault="006E360A" w:rsidP="006E360A"/>
    <w:p w:rsidR="006E360A" w:rsidRDefault="006E360A" w:rsidP="006E360A"/>
    <w:p w:rsidR="006E360A" w:rsidRPr="006E360A" w:rsidRDefault="000C6800" w:rsidP="006E360A">
      <w:r w:rsidRPr="000C6800">
        <w:rPr>
          <w:noProof/>
          <w:lang w:eastAsia="cs-CZ"/>
        </w:rPr>
        <w:drawing>
          <wp:inline distT="0" distB="0" distL="0" distR="0">
            <wp:extent cx="1592262" cy="493713"/>
            <wp:effectExtent l="19050" t="0" r="7938" b="0"/>
            <wp:docPr id="10" name="obrázek 1" descr="eeip_logo-bez textu"/>
            <wp:cNvGraphicFramePr/>
            <a:graphic xmlns:a="http://schemas.openxmlformats.org/drawingml/2006/main">
              <a:graphicData uri="http://schemas.openxmlformats.org/drawingml/2006/picture">
                <pic:pic xmlns:pic="http://schemas.openxmlformats.org/drawingml/2006/picture">
                  <pic:nvPicPr>
                    <pic:cNvPr id="6" name="Obrázek 5" descr="eeip_logo-bez textu"/>
                    <pic:cNvPicPr/>
                  </pic:nvPicPr>
                  <pic:blipFill>
                    <a:blip r:embed="rId8" cstate="print"/>
                    <a:srcRect/>
                    <a:stretch>
                      <a:fillRect/>
                    </a:stretch>
                  </pic:blipFill>
                  <pic:spPr bwMode="auto">
                    <a:xfrm>
                      <a:off x="0" y="0"/>
                      <a:ext cx="1592262" cy="493713"/>
                    </a:xfrm>
                    <a:prstGeom prst="rect">
                      <a:avLst/>
                    </a:prstGeom>
                    <a:noFill/>
                    <a:ln w="9525">
                      <a:noFill/>
                      <a:miter lim="800000"/>
                      <a:headEnd/>
                      <a:tailEnd/>
                    </a:ln>
                  </pic:spPr>
                </pic:pic>
              </a:graphicData>
            </a:graphic>
          </wp:inline>
        </w:drawing>
      </w:r>
    </w:p>
    <w:sdt>
      <w:sdtPr>
        <w:rPr>
          <w:rFonts w:ascii="Garamond" w:eastAsia="Calibri" w:hAnsi="Garamond"/>
          <w:b w:val="0"/>
          <w:bCs w:val="0"/>
          <w:color w:val="auto"/>
          <w:sz w:val="24"/>
          <w:szCs w:val="22"/>
        </w:rPr>
        <w:id w:val="19752036"/>
        <w:docPartObj>
          <w:docPartGallery w:val="Table of Contents"/>
          <w:docPartUnique/>
        </w:docPartObj>
      </w:sdtPr>
      <w:sdtContent>
        <w:p w:rsidR="006E360A" w:rsidRDefault="006E360A">
          <w:pPr>
            <w:pStyle w:val="Nadpisobsahu"/>
          </w:pPr>
          <w:r>
            <w:t>Obsah</w:t>
          </w:r>
        </w:p>
        <w:p w:rsidR="00671442" w:rsidRDefault="00467841">
          <w:pPr>
            <w:pStyle w:val="Obsah1"/>
            <w:tabs>
              <w:tab w:val="left" w:pos="480"/>
              <w:tab w:val="right" w:leader="dot" w:pos="9060"/>
            </w:tabs>
            <w:rPr>
              <w:rFonts w:asciiTheme="minorHAnsi" w:eastAsiaTheme="minorEastAsia" w:hAnsiTheme="minorHAnsi" w:cstheme="minorBidi"/>
              <w:noProof/>
              <w:sz w:val="22"/>
              <w:lang w:eastAsia="cs-CZ"/>
            </w:rPr>
          </w:pPr>
          <w:r>
            <w:fldChar w:fldCharType="begin"/>
          </w:r>
          <w:r w:rsidR="006E360A">
            <w:instrText xml:space="preserve"> TOC \o "1-3" \h \z \u </w:instrText>
          </w:r>
          <w:r>
            <w:fldChar w:fldCharType="separate"/>
          </w:r>
          <w:hyperlink w:anchor="_Toc368040275" w:history="1">
            <w:r w:rsidR="00671442" w:rsidRPr="00094162">
              <w:rPr>
                <w:rStyle w:val="Hypertextovodkaz"/>
                <w:noProof/>
              </w:rPr>
              <w:t>1</w:t>
            </w:r>
            <w:r w:rsidR="00671442">
              <w:rPr>
                <w:rFonts w:asciiTheme="minorHAnsi" w:eastAsiaTheme="minorEastAsia" w:hAnsiTheme="minorHAnsi" w:cstheme="minorBidi"/>
                <w:noProof/>
                <w:sz w:val="22"/>
                <w:lang w:eastAsia="cs-CZ"/>
              </w:rPr>
              <w:tab/>
            </w:r>
            <w:r w:rsidR="00671442" w:rsidRPr="00094162">
              <w:rPr>
                <w:rStyle w:val="Hypertextovodkaz"/>
                <w:noProof/>
              </w:rPr>
              <w:t>Manažerské shrnutí</w:t>
            </w:r>
            <w:r w:rsidR="00671442">
              <w:rPr>
                <w:noProof/>
                <w:webHidden/>
              </w:rPr>
              <w:tab/>
            </w:r>
            <w:r w:rsidR="00671442">
              <w:rPr>
                <w:noProof/>
                <w:webHidden/>
              </w:rPr>
              <w:fldChar w:fldCharType="begin"/>
            </w:r>
            <w:r w:rsidR="00671442">
              <w:rPr>
                <w:noProof/>
                <w:webHidden/>
              </w:rPr>
              <w:instrText xml:space="preserve"> PAGEREF _Toc368040275 \h </w:instrText>
            </w:r>
            <w:r w:rsidR="00671442">
              <w:rPr>
                <w:noProof/>
                <w:webHidden/>
              </w:rPr>
            </w:r>
            <w:r w:rsidR="00671442">
              <w:rPr>
                <w:noProof/>
                <w:webHidden/>
              </w:rPr>
              <w:fldChar w:fldCharType="separate"/>
            </w:r>
            <w:r w:rsidR="00671442">
              <w:rPr>
                <w:noProof/>
                <w:webHidden/>
              </w:rPr>
              <w:t>1</w:t>
            </w:r>
            <w:r w:rsidR="00671442">
              <w:rPr>
                <w:noProof/>
                <w:webHidden/>
              </w:rPr>
              <w:fldChar w:fldCharType="end"/>
            </w:r>
          </w:hyperlink>
        </w:p>
        <w:p w:rsidR="00671442" w:rsidRDefault="00671442">
          <w:pPr>
            <w:pStyle w:val="Obsah1"/>
            <w:tabs>
              <w:tab w:val="left" w:pos="480"/>
              <w:tab w:val="right" w:leader="dot" w:pos="9060"/>
            </w:tabs>
            <w:rPr>
              <w:rFonts w:asciiTheme="minorHAnsi" w:eastAsiaTheme="minorEastAsia" w:hAnsiTheme="minorHAnsi" w:cstheme="minorBidi"/>
              <w:noProof/>
              <w:sz w:val="22"/>
              <w:lang w:eastAsia="cs-CZ"/>
            </w:rPr>
          </w:pPr>
          <w:hyperlink w:anchor="_Toc368040276" w:history="1">
            <w:r w:rsidRPr="00094162">
              <w:rPr>
                <w:rStyle w:val="Hypertextovodkaz"/>
                <w:noProof/>
              </w:rPr>
              <w:t>2</w:t>
            </w:r>
            <w:r>
              <w:rPr>
                <w:rFonts w:asciiTheme="minorHAnsi" w:eastAsiaTheme="minorEastAsia" w:hAnsiTheme="minorHAnsi" w:cstheme="minorBidi"/>
                <w:noProof/>
                <w:sz w:val="22"/>
                <w:lang w:eastAsia="cs-CZ"/>
              </w:rPr>
              <w:tab/>
            </w:r>
            <w:r w:rsidRPr="00094162">
              <w:rPr>
                <w:rStyle w:val="Hypertextovodkaz"/>
                <w:noProof/>
              </w:rPr>
              <w:t>Úvod</w:t>
            </w:r>
            <w:r>
              <w:rPr>
                <w:noProof/>
                <w:webHidden/>
              </w:rPr>
              <w:tab/>
            </w:r>
            <w:r>
              <w:rPr>
                <w:noProof/>
                <w:webHidden/>
              </w:rPr>
              <w:fldChar w:fldCharType="begin"/>
            </w:r>
            <w:r>
              <w:rPr>
                <w:noProof/>
                <w:webHidden/>
              </w:rPr>
              <w:instrText xml:space="preserve"> PAGEREF _Toc368040276 \h </w:instrText>
            </w:r>
            <w:r>
              <w:rPr>
                <w:noProof/>
                <w:webHidden/>
              </w:rPr>
            </w:r>
            <w:r>
              <w:rPr>
                <w:noProof/>
                <w:webHidden/>
              </w:rPr>
              <w:fldChar w:fldCharType="separate"/>
            </w:r>
            <w:r>
              <w:rPr>
                <w:noProof/>
                <w:webHidden/>
              </w:rPr>
              <w:t>4</w:t>
            </w:r>
            <w:r>
              <w:rPr>
                <w:noProof/>
                <w:webHidden/>
              </w:rPr>
              <w:fldChar w:fldCharType="end"/>
            </w:r>
          </w:hyperlink>
        </w:p>
        <w:p w:rsidR="00671442" w:rsidRDefault="00671442">
          <w:pPr>
            <w:pStyle w:val="Obsah1"/>
            <w:tabs>
              <w:tab w:val="left" w:pos="480"/>
              <w:tab w:val="right" w:leader="dot" w:pos="9060"/>
            </w:tabs>
            <w:rPr>
              <w:rFonts w:asciiTheme="minorHAnsi" w:eastAsiaTheme="minorEastAsia" w:hAnsiTheme="minorHAnsi" w:cstheme="minorBidi"/>
              <w:noProof/>
              <w:sz w:val="22"/>
              <w:lang w:eastAsia="cs-CZ"/>
            </w:rPr>
          </w:pPr>
          <w:hyperlink w:anchor="_Toc368040277" w:history="1">
            <w:r w:rsidRPr="00094162">
              <w:rPr>
                <w:rStyle w:val="Hypertextovodkaz"/>
                <w:noProof/>
              </w:rPr>
              <w:t>3</w:t>
            </w:r>
            <w:r>
              <w:rPr>
                <w:rFonts w:asciiTheme="minorHAnsi" w:eastAsiaTheme="minorEastAsia" w:hAnsiTheme="minorHAnsi" w:cstheme="minorBidi"/>
                <w:noProof/>
                <w:sz w:val="22"/>
                <w:lang w:eastAsia="cs-CZ"/>
              </w:rPr>
              <w:tab/>
            </w:r>
            <w:r w:rsidRPr="00094162">
              <w:rPr>
                <w:rStyle w:val="Hypertextovodkaz"/>
                <w:noProof/>
              </w:rPr>
              <w:t>Pozice v rámci EU z hlediska podniků a uživatelů internetu</w:t>
            </w:r>
            <w:r>
              <w:rPr>
                <w:noProof/>
                <w:webHidden/>
              </w:rPr>
              <w:tab/>
            </w:r>
            <w:r>
              <w:rPr>
                <w:noProof/>
                <w:webHidden/>
              </w:rPr>
              <w:fldChar w:fldCharType="begin"/>
            </w:r>
            <w:r>
              <w:rPr>
                <w:noProof/>
                <w:webHidden/>
              </w:rPr>
              <w:instrText xml:space="preserve"> PAGEREF _Toc368040277 \h </w:instrText>
            </w:r>
            <w:r>
              <w:rPr>
                <w:noProof/>
                <w:webHidden/>
              </w:rPr>
            </w:r>
            <w:r>
              <w:rPr>
                <w:noProof/>
                <w:webHidden/>
              </w:rPr>
              <w:fldChar w:fldCharType="separate"/>
            </w:r>
            <w:r>
              <w:rPr>
                <w:noProof/>
                <w:webHidden/>
              </w:rPr>
              <w:t>6</w:t>
            </w:r>
            <w:r>
              <w:rPr>
                <w:noProof/>
                <w:webHidden/>
              </w:rPr>
              <w:fldChar w:fldCharType="end"/>
            </w:r>
          </w:hyperlink>
        </w:p>
        <w:p w:rsidR="00671442" w:rsidRDefault="00671442">
          <w:pPr>
            <w:pStyle w:val="Obsah2"/>
            <w:tabs>
              <w:tab w:val="left" w:pos="880"/>
              <w:tab w:val="right" w:leader="dot" w:pos="9060"/>
            </w:tabs>
            <w:rPr>
              <w:rFonts w:asciiTheme="minorHAnsi" w:eastAsiaTheme="minorEastAsia" w:hAnsiTheme="minorHAnsi" w:cstheme="minorBidi"/>
              <w:noProof/>
              <w:sz w:val="22"/>
              <w:lang w:eastAsia="cs-CZ"/>
            </w:rPr>
          </w:pPr>
          <w:hyperlink w:anchor="_Toc368040278" w:history="1">
            <w:r w:rsidRPr="00094162">
              <w:rPr>
                <w:rStyle w:val="Hypertextovodkaz"/>
                <w:noProof/>
              </w:rPr>
              <w:t>3.1</w:t>
            </w:r>
            <w:r>
              <w:rPr>
                <w:rFonts w:asciiTheme="minorHAnsi" w:eastAsiaTheme="minorEastAsia" w:hAnsiTheme="minorHAnsi" w:cstheme="minorBidi"/>
                <w:noProof/>
                <w:sz w:val="22"/>
                <w:lang w:eastAsia="cs-CZ"/>
              </w:rPr>
              <w:tab/>
            </w:r>
            <w:r w:rsidRPr="00094162">
              <w:rPr>
                <w:rStyle w:val="Hypertextovodkaz"/>
                <w:noProof/>
              </w:rPr>
              <w:t>Souhrn dosavadního vývoje a identifikace překážek rozvoje</w:t>
            </w:r>
            <w:r>
              <w:rPr>
                <w:noProof/>
                <w:webHidden/>
              </w:rPr>
              <w:tab/>
            </w:r>
            <w:r>
              <w:rPr>
                <w:noProof/>
                <w:webHidden/>
              </w:rPr>
              <w:fldChar w:fldCharType="begin"/>
            </w:r>
            <w:r>
              <w:rPr>
                <w:noProof/>
                <w:webHidden/>
              </w:rPr>
              <w:instrText xml:space="preserve"> PAGEREF _Toc368040278 \h </w:instrText>
            </w:r>
            <w:r>
              <w:rPr>
                <w:noProof/>
                <w:webHidden/>
              </w:rPr>
            </w:r>
            <w:r>
              <w:rPr>
                <w:noProof/>
                <w:webHidden/>
              </w:rPr>
              <w:fldChar w:fldCharType="separate"/>
            </w:r>
            <w:r>
              <w:rPr>
                <w:noProof/>
                <w:webHidden/>
              </w:rPr>
              <w:t>6</w:t>
            </w:r>
            <w:r>
              <w:rPr>
                <w:noProof/>
                <w:webHidden/>
              </w:rPr>
              <w:fldChar w:fldCharType="end"/>
            </w:r>
          </w:hyperlink>
        </w:p>
        <w:p w:rsidR="00671442" w:rsidRDefault="00671442">
          <w:pPr>
            <w:pStyle w:val="Obsah1"/>
            <w:tabs>
              <w:tab w:val="left" w:pos="480"/>
              <w:tab w:val="right" w:leader="dot" w:pos="9060"/>
            </w:tabs>
            <w:rPr>
              <w:rFonts w:asciiTheme="minorHAnsi" w:eastAsiaTheme="minorEastAsia" w:hAnsiTheme="minorHAnsi" w:cstheme="minorBidi"/>
              <w:noProof/>
              <w:sz w:val="22"/>
              <w:lang w:eastAsia="cs-CZ"/>
            </w:rPr>
          </w:pPr>
          <w:hyperlink w:anchor="_Toc368040279" w:history="1">
            <w:r w:rsidRPr="00094162">
              <w:rPr>
                <w:rStyle w:val="Hypertextovodkaz"/>
                <w:noProof/>
              </w:rPr>
              <w:t>4</w:t>
            </w:r>
            <w:r>
              <w:rPr>
                <w:rFonts w:asciiTheme="minorHAnsi" w:eastAsiaTheme="minorEastAsia" w:hAnsiTheme="minorHAnsi" w:cstheme="minorBidi"/>
                <w:noProof/>
                <w:sz w:val="22"/>
                <w:lang w:eastAsia="cs-CZ"/>
              </w:rPr>
              <w:tab/>
            </w:r>
            <w:r w:rsidRPr="00094162">
              <w:rPr>
                <w:rStyle w:val="Hypertextovodkaz"/>
                <w:noProof/>
              </w:rPr>
              <w:t>Velikost české internetové ekonomiky</w:t>
            </w:r>
            <w:r>
              <w:rPr>
                <w:noProof/>
                <w:webHidden/>
              </w:rPr>
              <w:tab/>
            </w:r>
            <w:r>
              <w:rPr>
                <w:noProof/>
                <w:webHidden/>
              </w:rPr>
              <w:fldChar w:fldCharType="begin"/>
            </w:r>
            <w:r>
              <w:rPr>
                <w:noProof/>
                <w:webHidden/>
              </w:rPr>
              <w:instrText xml:space="preserve"> PAGEREF _Toc368040279 \h </w:instrText>
            </w:r>
            <w:r>
              <w:rPr>
                <w:noProof/>
                <w:webHidden/>
              </w:rPr>
            </w:r>
            <w:r>
              <w:rPr>
                <w:noProof/>
                <w:webHidden/>
              </w:rPr>
              <w:fldChar w:fldCharType="separate"/>
            </w:r>
            <w:r>
              <w:rPr>
                <w:noProof/>
                <w:webHidden/>
              </w:rPr>
              <w:t>12</w:t>
            </w:r>
            <w:r>
              <w:rPr>
                <w:noProof/>
                <w:webHidden/>
              </w:rPr>
              <w:fldChar w:fldCharType="end"/>
            </w:r>
          </w:hyperlink>
        </w:p>
        <w:p w:rsidR="00671442" w:rsidRDefault="00671442">
          <w:pPr>
            <w:pStyle w:val="Obsah2"/>
            <w:tabs>
              <w:tab w:val="left" w:pos="880"/>
              <w:tab w:val="right" w:leader="dot" w:pos="9060"/>
            </w:tabs>
            <w:rPr>
              <w:rFonts w:asciiTheme="minorHAnsi" w:eastAsiaTheme="minorEastAsia" w:hAnsiTheme="minorHAnsi" w:cstheme="minorBidi"/>
              <w:noProof/>
              <w:sz w:val="22"/>
              <w:lang w:eastAsia="cs-CZ"/>
            </w:rPr>
          </w:pPr>
          <w:hyperlink w:anchor="_Toc368040280" w:history="1">
            <w:r w:rsidRPr="00094162">
              <w:rPr>
                <w:rStyle w:val="Hypertextovodkaz"/>
                <w:noProof/>
              </w:rPr>
              <w:t>4.1</w:t>
            </w:r>
            <w:r>
              <w:rPr>
                <w:rFonts w:asciiTheme="minorHAnsi" w:eastAsiaTheme="minorEastAsia" w:hAnsiTheme="minorHAnsi" w:cstheme="minorBidi"/>
                <w:noProof/>
                <w:sz w:val="22"/>
                <w:lang w:eastAsia="cs-CZ"/>
              </w:rPr>
              <w:tab/>
            </w:r>
            <w:r w:rsidRPr="00094162">
              <w:rPr>
                <w:rStyle w:val="Hypertextovodkaz"/>
                <w:noProof/>
              </w:rPr>
              <w:t>Vliv internetové ekonomiky na hrubý domácí produkt</w:t>
            </w:r>
            <w:r>
              <w:rPr>
                <w:noProof/>
                <w:webHidden/>
              </w:rPr>
              <w:tab/>
            </w:r>
            <w:r>
              <w:rPr>
                <w:noProof/>
                <w:webHidden/>
              </w:rPr>
              <w:fldChar w:fldCharType="begin"/>
            </w:r>
            <w:r>
              <w:rPr>
                <w:noProof/>
                <w:webHidden/>
              </w:rPr>
              <w:instrText xml:space="preserve"> PAGEREF _Toc368040280 \h </w:instrText>
            </w:r>
            <w:r>
              <w:rPr>
                <w:noProof/>
                <w:webHidden/>
              </w:rPr>
            </w:r>
            <w:r>
              <w:rPr>
                <w:noProof/>
                <w:webHidden/>
              </w:rPr>
              <w:fldChar w:fldCharType="separate"/>
            </w:r>
            <w:r>
              <w:rPr>
                <w:noProof/>
                <w:webHidden/>
              </w:rPr>
              <w:t>12</w:t>
            </w:r>
            <w:r>
              <w:rPr>
                <w:noProof/>
                <w:webHidden/>
              </w:rPr>
              <w:fldChar w:fldCharType="end"/>
            </w:r>
          </w:hyperlink>
        </w:p>
        <w:p w:rsidR="00671442" w:rsidRDefault="00671442">
          <w:pPr>
            <w:pStyle w:val="Obsah3"/>
            <w:tabs>
              <w:tab w:val="left" w:pos="1320"/>
              <w:tab w:val="right" w:leader="dot" w:pos="9060"/>
            </w:tabs>
            <w:rPr>
              <w:rFonts w:asciiTheme="minorHAnsi" w:eastAsiaTheme="minorEastAsia" w:hAnsiTheme="minorHAnsi" w:cstheme="minorBidi"/>
              <w:noProof/>
              <w:sz w:val="22"/>
              <w:lang w:eastAsia="cs-CZ"/>
            </w:rPr>
          </w:pPr>
          <w:hyperlink w:anchor="_Toc368040281" w:history="1">
            <w:r w:rsidRPr="00094162">
              <w:rPr>
                <w:rStyle w:val="Hypertextovodkaz"/>
                <w:noProof/>
              </w:rPr>
              <w:t>4.1.1</w:t>
            </w:r>
            <w:r>
              <w:rPr>
                <w:rFonts w:asciiTheme="minorHAnsi" w:eastAsiaTheme="minorEastAsia" w:hAnsiTheme="minorHAnsi" w:cstheme="minorBidi"/>
                <w:noProof/>
                <w:sz w:val="22"/>
                <w:lang w:eastAsia="cs-CZ"/>
              </w:rPr>
              <w:tab/>
            </w:r>
            <w:r w:rsidRPr="00094162">
              <w:rPr>
                <w:rStyle w:val="Hypertextovodkaz"/>
                <w:noProof/>
              </w:rPr>
              <w:t>Výdaje domácností a veřejné výdaje v ICT sektoru</w:t>
            </w:r>
            <w:r>
              <w:rPr>
                <w:noProof/>
                <w:webHidden/>
              </w:rPr>
              <w:tab/>
            </w:r>
            <w:r>
              <w:rPr>
                <w:noProof/>
                <w:webHidden/>
              </w:rPr>
              <w:fldChar w:fldCharType="begin"/>
            </w:r>
            <w:r>
              <w:rPr>
                <w:noProof/>
                <w:webHidden/>
              </w:rPr>
              <w:instrText xml:space="preserve"> PAGEREF _Toc368040281 \h </w:instrText>
            </w:r>
            <w:r>
              <w:rPr>
                <w:noProof/>
                <w:webHidden/>
              </w:rPr>
            </w:r>
            <w:r>
              <w:rPr>
                <w:noProof/>
                <w:webHidden/>
              </w:rPr>
              <w:fldChar w:fldCharType="separate"/>
            </w:r>
            <w:r>
              <w:rPr>
                <w:noProof/>
                <w:webHidden/>
              </w:rPr>
              <w:t>20</w:t>
            </w:r>
            <w:r>
              <w:rPr>
                <w:noProof/>
                <w:webHidden/>
              </w:rPr>
              <w:fldChar w:fldCharType="end"/>
            </w:r>
          </w:hyperlink>
        </w:p>
        <w:p w:rsidR="00671442" w:rsidRDefault="00671442">
          <w:pPr>
            <w:pStyle w:val="Obsah3"/>
            <w:tabs>
              <w:tab w:val="left" w:pos="1320"/>
              <w:tab w:val="right" w:leader="dot" w:pos="9060"/>
            </w:tabs>
            <w:rPr>
              <w:rFonts w:asciiTheme="minorHAnsi" w:eastAsiaTheme="minorEastAsia" w:hAnsiTheme="minorHAnsi" w:cstheme="minorBidi"/>
              <w:noProof/>
              <w:sz w:val="22"/>
              <w:lang w:eastAsia="cs-CZ"/>
            </w:rPr>
          </w:pPr>
          <w:hyperlink w:anchor="_Toc368040282" w:history="1">
            <w:r w:rsidRPr="00094162">
              <w:rPr>
                <w:rStyle w:val="Hypertextovodkaz"/>
                <w:noProof/>
              </w:rPr>
              <w:t>4.1.2</w:t>
            </w:r>
            <w:r>
              <w:rPr>
                <w:rFonts w:asciiTheme="minorHAnsi" w:eastAsiaTheme="minorEastAsia" w:hAnsiTheme="minorHAnsi" w:cstheme="minorBidi"/>
                <w:noProof/>
                <w:sz w:val="22"/>
                <w:lang w:eastAsia="cs-CZ"/>
              </w:rPr>
              <w:tab/>
            </w:r>
            <w:r w:rsidRPr="00094162">
              <w:rPr>
                <w:rStyle w:val="Hypertextovodkaz"/>
                <w:noProof/>
              </w:rPr>
              <w:t>Investice v ICT sektoru</w:t>
            </w:r>
            <w:r>
              <w:rPr>
                <w:noProof/>
                <w:webHidden/>
              </w:rPr>
              <w:tab/>
            </w:r>
            <w:r>
              <w:rPr>
                <w:noProof/>
                <w:webHidden/>
              </w:rPr>
              <w:fldChar w:fldCharType="begin"/>
            </w:r>
            <w:r>
              <w:rPr>
                <w:noProof/>
                <w:webHidden/>
              </w:rPr>
              <w:instrText xml:space="preserve"> PAGEREF _Toc368040282 \h </w:instrText>
            </w:r>
            <w:r>
              <w:rPr>
                <w:noProof/>
                <w:webHidden/>
              </w:rPr>
            </w:r>
            <w:r>
              <w:rPr>
                <w:noProof/>
                <w:webHidden/>
              </w:rPr>
              <w:fldChar w:fldCharType="separate"/>
            </w:r>
            <w:r>
              <w:rPr>
                <w:noProof/>
                <w:webHidden/>
              </w:rPr>
              <w:t>22</w:t>
            </w:r>
            <w:r>
              <w:rPr>
                <w:noProof/>
                <w:webHidden/>
              </w:rPr>
              <w:fldChar w:fldCharType="end"/>
            </w:r>
          </w:hyperlink>
        </w:p>
        <w:p w:rsidR="00671442" w:rsidRDefault="00671442">
          <w:pPr>
            <w:pStyle w:val="Obsah3"/>
            <w:tabs>
              <w:tab w:val="left" w:pos="1320"/>
              <w:tab w:val="right" w:leader="dot" w:pos="9060"/>
            </w:tabs>
            <w:rPr>
              <w:rFonts w:asciiTheme="minorHAnsi" w:eastAsiaTheme="minorEastAsia" w:hAnsiTheme="minorHAnsi" w:cstheme="minorBidi"/>
              <w:noProof/>
              <w:sz w:val="22"/>
              <w:lang w:eastAsia="cs-CZ"/>
            </w:rPr>
          </w:pPr>
          <w:hyperlink w:anchor="_Toc368040283" w:history="1">
            <w:r w:rsidRPr="00094162">
              <w:rPr>
                <w:rStyle w:val="Hypertextovodkaz"/>
                <w:noProof/>
              </w:rPr>
              <w:t>4.1.3</w:t>
            </w:r>
            <w:r>
              <w:rPr>
                <w:rFonts w:asciiTheme="minorHAnsi" w:eastAsiaTheme="minorEastAsia" w:hAnsiTheme="minorHAnsi" w:cstheme="minorBidi"/>
                <w:noProof/>
                <w:sz w:val="22"/>
                <w:lang w:eastAsia="cs-CZ"/>
              </w:rPr>
              <w:tab/>
            </w:r>
            <w:r w:rsidRPr="00094162">
              <w:rPr>
                <w:rStyle w:val="Hypertextovodkaz"/>
                <w:noProof/>
              </w:rPr>
              <w:t>Výdaje na vědu a výzkum v ICT sektoru</w:t>
            </w:r>
            <w:r>
              <w:rPr>
                <w:noProof/>
                <w:webHidden/>
              </w:rPr>
              <w:tab/>
            </w:r>
            <w:r>
              <w:rPr>
                <w:noProof/>
                <w:webHidden/>
              </w:rPr>
              <w:fldChar w:fldCharType="begin"/>
            </w:r>
            <w:r>
              <w:rPr>
                <w:noProof/>
                <w:webHidden/>
              </w:rPr>
              <w:instrText xml:space="preserve"> PAGEREF _Toc368040283 \h </w:instrText>
            </w:r>
            <w:r>
              <w:rPr>
                <w:noProof/>
                <w:webHidden/>
              </w:rPr>
            </w:r>
            <w:r>
              <w:rPr>
                <w:noProof/>
                <w:webHidden/>
              </w:rPr>
              <w:fldChar w:fldCharType="separate"/>
            </w:r>
            <w:r>
              <w:rPr>
                <w:noProof/>
                <w:webHidden/>
              </w:rPr>
              <w:t>23</w:t>
            </w:r>
            <w:r>
              <w:rPr>
                <w:noProof/>
                <w:webHidden/>
              </w:rPr>
              <w:fldChar w:fldCharType="end"/>
            </w:r>
          </w:hyperlink>
        </w:p>
        <w:p w:rsidR="00671442" w:rsidRDefault="00671442">
          <w:pPr>
            <w:pStyle w:val="Obsah3"/>
            <w:tabs>
              <w:tab w:val="left" w:pos="1320"/>
              <w:tab w:val="right" w:leader="dot" w:pos="9060"/>
            </w:tabs>
            <w:rPr>
              <w:rFonts w:asciiTheme="minorHAnsi" w:eastAsiaTheme="minorEastAsia" w:hAnsiTheme="minorHAnsi" w:cstheme="minorBidi"/>
              <w:noProof/>
              <w:sz w:val="22"/>
              <w:lang w:eastAsia="cs-CZ"/>
            </w:rPr>
          </w:pPr>
          <w:hyperlink w:anchor="_Toc368040284" w:history="1">
            <w:r w:rsidRPr="00094162">
              <w:rPr>
                <w:rStyle w:val="Hypertextovodkaz"/>
                <w:noProof/>
              </w:rPr>
              <w:t>4.1.4</w:t>
            </w:r>
            <w:r>
              <w:rPr>
                <w:rFonts w:asciiTheme="minorHAnsi" w:eastAsiaTheme="minorEastAsia" w:hAnsiTheme="minorHAnsi" w:cstheme="minorBidi"/>
                <w:noProof/>
                <w:sz w:val="22"/>
                <w:lang w:eastAsia="cs-CZ"/>
              </w:rPr>
              <w:tab/>
            </w:r>
            <w:r w:rsidRPr="00094162">
              <w:rPr>
                <w:rStyle w:val="Hypertextovodkaz"/>
                <w:noProof/>
              </w:rPr>
              <w:t>Zahraniční obchod</w:t>
            </w:r>
            <w:r>
              <w:rPr>
                <w:noProof/>
                <w:webHidden/>
              </w:rPr>
              <w:tab/>
            </w:r>
            <w:r>
              <w:rPr>
                <w:noProof/>
                <w:webHidden/>
              </w:rPr>
              <w:fldChar w:fldCharType="begin"/>
            </w:r>
            <w:r>
              <w:rPr>
                <w:noProof/>
                <w:webHidden/>
              </w:rPr>
              <w:instrText xml:space="preserve"> PAGEREF _Toc368040284 \h </w:instrText>
            </w:r>
            <w:r>
              <w:rPr>
                <w:noProof/>
                <w:webHidden/>
              </w:rPr>
            </w:r>
            <w:r>
              <w:rPr>
                <w:noProof/>
                <w:webHidden/>
              </w:rPr>
              <w:fldChar w:fldCharType="separate"/>
            </w:r>
            <w:r>
              <w:rPr>
                <w:noProof/>
                <w:webHidden/>
              </w:rPr>
              <w:t>24</w:t>
            </w:r>
            <w:r>
              <w:rPr>
                <w:noProof/>
                <w:webHidden/>
              </w:rPr>
              <w:fldChar w:fldCharType="end"/>
            </w:r>
          </w:hyperlink>
        </w:p>
        <w:p w:rsidR="00671442" w:rsidRDefault="00671442">
          <w:pPr>
            <w:pStyle w:val="Obsah2"/>
            <w:tabs>
              <w:tab w:val="left" w:pos="880"/>
              <w:tab w:val="right" w:leader="dot" w:pos="9060"/>
            </w:tabs>
            <w:rPr>
              <w:rFonts w:asciiTheme="minorHAnsi" w:eastAsiaTheme="minorEastAsia" w:hAnsiTheme="minorHAnsi" w:cstheme="minorBidi"/>
              <w:noProof/>
              <w:sz w:val="22"/>
              <w:lang w:eastAsia="cs-CZ"/>
            </w:rPr>
          </w:pPr>
          <w:hyperlink w:anchor="_Toc368040285" w:history="1">
            <w:r w:rsidRPr="00094162">
              <w:rPr>
                <w:rStyle w:val="Hypertextovodkaz"/>
                <w:noProof/>
              </w:rPr>
              <w:t>4.2</w:t>
            </w:r>
            <w:r>
              <w:rPr>
                <w:rFonts w:asciiTheme="minorHAnsi" w:eastAsiaTheme="minorEastAsia" w:hAnsiTheme="minorHAnsi" w:cstheme="minorBidi"/>
                <w:noProof/>
                <w:sz w:val="22"/>
                <w:lang w:eastAsia="cs-CZ"/>
              </w:rPr>
              <w:tab/>
            </w:r>
            <w:r w:rsidRPr="00094162">
              <w:rPr>
                <w:rStyle w:val="Hypertextovodkaz"/>
                <w:noProof/>
              </w:rPr>
              <w:t>Zaměstnanost v internetové ekonomice</w:t>
            </w:r>
            <w:r>
              <w:rPr>
                <w:noProof/>
                <w:webHidden/>
              </w:rPr>
              <w:tab/>
            </w:r>
            <w:r>
              <w:rPr>
                <w:noProof/>
                <w:webHidden/>
              </w:rPr>
              <w:fldChar w:fldCharType="begin"/>
            </w:r>
            <w:r>
              <w:rPr>
                <w:noProof/>
                <w:webHidden/>
              </w:rPr>
              <w:instrText xml:space="preserve"> PAGEREF _Toc368040285 \h </w:instrText>
            </w:r>
            <w:r>
              <w:rPr>
                <w:noProof/>
                <w:webHidden/>
              </w:rPr>
            </w:r>
            <w:r>
              <w:rPr>
                <w:noProof/>
                <w:webHidden/>
              </w:rPr>
              <w:fldChar w:fldCharType="separate"/>
            </w:r>
            <w:r>
              <w:rPr>
                <w:noProof/>
                <w:webHidden/>
              </w:rPr>
              <w:t>27</w:t>
            </w:r>
            <w:r>
              <w:rPr>
                <w:noProof/>
                <w:webHidden/>
              </w:rPr>
              <w:fldChar w:fldCharType="end"/>
            </w:r>
          </w:hyperlink>
        </w:p>
        <w:p w:rsidR="00671442" w:rsidRDefault="00671442">
          <w:pPr>
            <w:pStyle w:val="Obsah2"/>
            <w:tabs>
              <w:tab w:val="left" w:pos="880"/>
              <w:tab w:val="right" w:leader="dot" w:pos="9060"/>
            </w:tabs>
            <w:rPr>
              <w:rFonts w:asciiTheme="minorHAnsi" w:eastAsiaTheme="minorEastAsia" w:hAnsiTheme="minorHAnsi" w:cstheme="minorBidi"/>
              <w:noProof/>
              <w:sz w:val="22"/>
              <w:lang w:eastAsia="cs-CZ"/>
            </w:rPr>
          </w:pPr>
          <w:hyperlink w:anchor="_Toc368040286" w:history="1">
            <w:r w:rsidRPr="00094162">
              <w:rPr>
                <w:rStyle w:val="Hypertextovodkaz"/>
                <w:noProof/>
              </w:rPr>
              <w:t>4.3</w:t>
            </w:r>
            <w:r>
              <w:rPr>
                <w:rFonts w:asciiTheme="minorHAnsi" w:eastAsiaTheme="minorEastAsia" w:hAnsiTheme="minorHAnsi" w:cstheme="minorBidi"/>
                <w:noProof/>
                <w:sz w:val="22"/>
                <w:lang w:eastAsia="cs-CZ"/>
              </w:rPr>
              <w:tab/>
            </w:r>
            <w:r w:rsidRPr="00094162">
              <w:rPr>
                <w:rStyle w:val="Hypertextovodkaz"/>
                <w:noProof/>
              </w:rPr>
              <w:t>Podniky v internetové ekonomice</w:t>
            </w:r>
            <w:r>
              <w:rPr>
                <w:noProof/>
                <w:webHidden/>
              </w:rPr>
              <w:tab/>
            </w:r>
            <w:r>
              <w:rPr>
                <w:noProof/>
                <w:webHidden/>
              </w:rPr>
              <w:fldChar w:fldCharType="begin"/>
            </w:r>
            <w:r>
              <w:rPr>
                <w:noProof/>
                <w:webHidden/>
              </w:rPr>
              <w:instrText xml:space="preserve"> PAGEREF _Toc368040286 \h </w:instrText>
            </w:r>
            <w:r>
              <w:rPr>
                <w:noProof/>
                <w:webHidden/>
              </w:rPr>
            </w:r>
            <w:r>
              <w:rPr>
                <w:noProof/>
                <w:webHidden/>
              </w:rPr>
              <w:fldChar w:fldCharType="separate"/>
            </w:r>
            <w:r>
              <w:rPr>
                <w:noProof/>
                <w:webHidden/>
              </w:rPr>
              <w:t>32</w:t>
            </w:r>
            <w:r>
              <w:rPr>
                <w:noProof/>
                <w:webHidden/>
              </w:rPr>
              <w:fldChar w:fldCharType="end"/>
            </w:r>
          </w:hyperlink>
        </w:p>
        <w:p w:rsidR="00671442" w:rsidRDefault="00671442">
          <w:pPr>
            <w:pStyle w:val="Obsah1"/>
            <w:tabs>
              <w:tab w:val="left" w:pos="480"/>
              <w:tab w:val="right" w:leader="dot" w:pos="9060"/>
            </w:tabs>
            <w:rPr>
              <w:rFonts w:asciiTheme="minorHAnsi" w:eastAsiaTheme="minorEastAsia" w:hAnsiTheme="minorHAnsi" w:cstheme="minorBidi"/>
              <w:noProof/>
              <w:sz w:val="22"/>
              <w:lang w:eastAsia="cs-CZ"/>
            </w:rPr>
          </w:pPr>
          <w:hyperlink w:anchor="_Toc368040287" w:history="1">
            <w:r w:rsidRPr="00094162">
              <w:rPr>
                <w:rStyle w:val="Hypertextovodkaz"/>
                <w:noProof/>
              </w:rPr>
              <w:t>5</w:t>
            </w:r>
            <w:r>
              <w:rPr>
                <w:rFonts w:asciiTheme="minorHAnsi" w:eastAsiaTheme="minorEastAsia" w:hAnsiTheme="minorHAnsi" w:cstheme="minorBidi"/>
                <w:noProof/>
                <w:sz w:val="22"/>
                <w:lang w:eastAsia="cs-CZ"/>
              </w:rPr>
              <w:tab/>
            </w:r>
            <w:r w:rsidRPr="00094162">
              <w:rPr>
                <w:rStyle w:val="Hypertextovodkaz"/>
                <w:noProof/>
              </w:rPr>
              <w:t>Internetová ekonomika z pohledu konkurenceschopnosti</w:t>
            </w:r>
            <w:r>
              <w:rPr>
                <w:noProof/>
                <w:webHidden/>
              </w:rPr>
              <w:tab/>
            </w:r>
            <w:r>
              <w:rPr>
                <w:noProof/>
                <w:webHidden/>
              </w:rPr>
              <w:fldChar w:fldCharType="begin"/>
            </w:r>
            <w:r>
              <w:rPr>
                <w:noProof/>
                <w:webHidden/>
              </w:rPr>
              <w:instrText xml:space="preserve"> PAGEREF _Toc368040287 \h </w:instrText>
            </w:r>
            <w:r>
              <w:rPr>
                <w:noProof/>
                <w:webHidden/>
              </w:rPr>
            </w:r>
            <w:r>
              <w:rPr>
                <w:noProof/>
                <w:webHidden/>
              </w:rPr>
              <w:fldChar w:fldCharType="separate"/>
            </w:r>
            <w:r>
              <w:rPr>
                <w:noProof/>
                <w:webHidden/>
              </w:rPr>
              <w:t>34</w:t>
            </w:r>
            <w:r>
              <w:rPr>
                <w:noProof/>
                <w:webHidden/>
              </w:rPr>
              <w:fldChar w:fldCharType="end"/>
            </w:r>
          </w:hyperlink>
        </w:p>
        <w:p w:rsidR="00671442" w:rsidRDefault="00671442">
          <w:pPr>
            <w:pStyle w:val="Obsah2"/>
            <w:tabs>
              <w:tab w:val="left" w:pos="880"/>
              <w:tab w:val="right" w:leader="dot" w:pos="9060"/>
            </w:tabs>
            <w:rPr>
              <w:rFonts w:asciiTheme="minorHAnsi" w:eastAsiaTheme="minorEastAsia" w:hAnsiTheme="minorHAnsi" w:cstheme="minorBidi"/>
              <w:noProof/>
              <w:sz w:val="22"/>
              <w:lang w:eastAsia="cs-CZ"/>
            </w:rPr>
          </w:pPr>
          <w:hyperlink w:anchor="_Toc368040288" w:history="1">
            <w:r w:rsidRPr="00094162">
              <w:rPr>
                <w:rStyle w:val="Hypertextovodkaz"/>
                <w:noProof/>
              </w:rPr>
              <w:t>5.1</w:t>
            </w:r>
            <w:r>
              <w:rPr>
                <w:rFonts w:asciiTheme="minorHAnsi" w:eastAsiaTheme="minorEastAsia" w:hAnsiTheme="minorHAnsi" w:cstheme="minorBidi"/>
                <w:noProof/>
                <w:sz w:val="22"/>
                <w:lang w:eastAsia="cs-CZ"/>
              </w:rPr>
              <w:tab/>
            </w:r>
            <w:r w:rsidRPr="00094162">
              <w:rPr>
                <w:rStyle w:val="Hypertextovodkaz"/>
                <w:noProof/>
              </w:rPr>
              <w:t>Konkurenceschopnost České republiky</w:t>
            </w:r>
            <w:r>
              <w:rPr>
                <w:noProof/>
                <w:webHidden/>
              </w:rPr>
              <w:tab/>
            </w:r>
            <w:r>
              <w:rPr>
                <w:noProof/>
                <w:webHidden/>
              </w:rPr>
              <w:fldChar w:fldCharType="begin"/>
            </w:r>
            <w:r>
              <w:rPr>
                <w:noProof/>
                <w:webHidden/>
              </w:rPr>
              <w:instrText xml:space="preserve"> PAGEREF _Toc368040288 \h </w:instrText>
            </w:r>
            <w:r>
              <w:rPr>
                <w:noProof/>
                <w:webHidden/>
              </w:rPr>
            </w:r>
            <w:r>
              <w:rPr>
                <w:noProof/>
                <w:webHidden/>
              </w:rPr>
              <w:fldChar w:fldCharType="separate"/>
            </w:r>
            <w:r>
              <w:rPr>
                <w:noProof/>
                <w:webHidden/>
              </w:rPr>
              <w:t>34</w:t>
            </w:r>
            <w:r>
              <w:rPr>
                <w:noProof/>
                <w:webHidden/>
              </w:rPr>
              <w:fldChar w:fldCharType="end"/>
            </w:r>
          </w:hyperlink>
        </w:p>
        <w:p w:rsidR="00671442" w:rsidRDefault="00671442">
          <w:pPr>
            <w:pStyle w:val="Obsah3"/>
            <w:tabs>
              <w:tab w:val="left" w:pos="1320"/>
              <w:tab w:val="right" w:leader="dot" w:pos="9060"/>
            </w:tabs>
            <w:rPr>
              <w:rFonts w:asciiTheme="minorHAnsi" w:eastAsiaTheme="minorEastAsia" w:hAnsiTheme="minorHAnsi" w:cstheme="minorBidi"/>
              <w:noProof/>
              <w:sz w:val="22"/>
              <w:lang w:eastAsia="cs-CZ"/>
            </w:rPr>
          </w:pPr>
          <w:hyperlink w:anchor="_Toc368040289" w:history="1">
            <w:r w:rsidRPr="00094162">
              <w:rPr>
                <w:rStyle w:val="Hypertextovodkaz"/>
                <w:noProof/>
              </w:rPr>
              <w:t>5.1.1</w:t>
            </w:r>
            <w:r>
              <w:rPr>
                <w:rFonts w:asciiTheme="minorHAnsi" w:eastAsiaTheme="minorEastAsia" w:hAnsiTheme="minorHAnsi" w:cstheme="minorBidi"/>
                <w:noProof/>
                <w:sz w:val="22"/>
                <w:lang w:eastAsia="cs-CZ"/>
              </w:rPr>
              <w:tab/>
            </w:r>
            <w:r w:rsidRPr="00094162">
              <w:rPr>
                <w:rStyle w:val="Hypertextovodkaz"/>
                <w:noProof/>
              </w:rPr>
              <w:t>Cenová konkurenceschopnost ČR</w:t>
            </w:r>
            <w:r>
              <w:rPr>
                <w:noProof/>
                <w:webHidden/>
              </w:rPr>
              <w:tab/>
            </w:r>
            <w:r>
              <w:rPr>
                <w:noProof/>
                <w:webHidden/>
              </w:rPr>
              <w:fldChar w:fldCharType="begin"/>
            </w:r>
            <w:r>
              <w:rPr>
                <w:noProof/>
                <w:webHidden/>
              </w:rPr>
              <w:instrText xml:space="preserve"> PAGEREF _Toc368040289 \h </w:instrText>
            </w:r>
            <w:r>
              <w:rPr>
                <w:noProof/>
                <w:webHidden/>
              </w:rPr>
            </w:r>
            <w:r>
              <w:rPr>
                <w:noProof/>
                <w:webHidden/>
              </w:rPr>
              <w:fldChar w:fldCharType="separate"/>
            </w:r>
            <w:r>
              <w:rPr>
                <w:noProof/>
                <w:webHidden/>
              </w:rPr>
              <w:t>34</w:t>
            </w:r>
            <w:r>
              <w:rPr>
                <w:noProof/>
                <w:webHidden/>
              </w:rPr>
              <w:fldChar w:fldCharType="end"/>
            </w:r>
          </w:hyperlink>
        </w:p>
        <w:p w:rsidR="00671442" w:rsidRDefault="00671442">
          <w:pPr>
            <w:pStyle w:val="Obsah3"/>
            <w:tabs>
              <w:tab w:val="left" w:pos="1320"/>
              <w:tab w:val="right" w:leader="dot" w:pos="9060"/>
            </w:tabs>
            <w:rPr>
              <w:rFonts w:asciiTheme="minorHAnsi" w:eastAsiaTheme="minorEastAsia" w:hAnsiTheme="minorHAnsi" w:cstheme="minorBidi"/>
              <w:noProof/>
              <w:sz w:val="22"/>
              <w:lang w:eastAsia="cs-CZ"/>
            </w:rPr>
          </w:pPr>
          <w:hyperlink w:anchor="_Toc368040290" w:history="1">
            <w:r w:rsidRPr="00094162">
              <w:rPr>
                <w:rStyle w:val="Hypertextovodkaz"/>
                <w:noProof/>
              </w:rPr>
              <w:t>5.1.2</w:t>
            </w:r>
            <w:r>
              <w:rPr>
                <w:rFonts w:asciiTheme="minorHAnsi" w:eastAsiaTheme="minorEastAsia" w:hAnsiTheme="minorHAnsi" w:cstheme="minorBidi"/>
                <w:noProof/>
                <w:sz w:val="22"/>
                <w:lang w:eastAsia="cs-CZ"/>
              </w:rPr>
              <w:tab/>
            </w:r>
            <w:r w:rsidRPr="00094162">
              <w:rPr>
                <w:rStyle w:val="Hypertextovodkaz"/>
                <w:noProof/>
              </w:rPr>
              <w:t>Necenová konkurenceschopnost a podmínky pro podnikání v ČR</w:t>
            </w:r>
            <w:r>
              <w:rPr>
                <w:noProof/>
                <w:webHidden/>
              </w:rPr>
              <w:tab/>
            </w:r>
            <w:r>
              <w:rPr>
                <w:noProof/>
                <w:webHidden/>
              </w:rPr>
              <w:fldChar w:fldCharType="begin"/>
            </w:r>
            <w:r>
              <w:rPr>
                <w:noProof/>
                <w:webHidden/>
              </w:rPr>
              <w:instrText xml:space="preserve"> PAGEREF _Toc368040290 \h </w:instrText>
            </w:r>
            <w:r>
              <w:rPr>
                <w:noProof/>
                <w:webHidden/>
              </w:rPr>
            </w:r>
            <w:r>
              <w:rPr>
                <w:noProof/>
                <w:webHidden/>
              </w:rPr>
              <w:fldChar w:fldCharType="separate"/>
            </w:r>
            <w:r>
              <w:rPr>
                <w:noProof/>
                <w:webHidden/>
              </w:rPr>
              <w:t>36</w:t>
            </w:r>
            <w:r>
              <w:rPr>
                <w:noProof/>
                <w:webHidden/>
              </w:rPr>
              <w:fldChar w:fldCharType="end"/>
            </w:r>
          </w:hyperlink>
        </w:p>
        <w:p w:rsidR="00671442" w:rsidRDefault="00671442">
          <w:pPr>
            <w:pStyle w:val="Obsah2"/>
            <w:tabs>
              <w:tab w:val="left" w:pos="880"/>
              <w:tab w:val="right" w:leader="dot" w:pos="9060"/>
            </w:tabs>
            <w:rPr>
              <w:rFonts w:asciiTheme="minorHAnsi" w:eastAsiaTheme="minorEastAsia" w:hAnsiTheme="minorHAnsi" w:cstheme="minorBidi"/>
              <w:noProof/>
              <w:sz w:val="22"/>
              <w:lang w:eastAsia="cs-CZ"/>
            </w:rPr>
          </w:pPr>
          <w:hyperlink w:anchor="_Toc368040291" w:history="1">
            <w:r w:rsidRPr="00094162">
              <w:rPr>
                <w:rStyle w:val="Hypertextovodkaz"/>
                <w:noProof/>
              </w:rPr>
              <w:t>5.2</w:t>
            </w:r>
            <w:r>
              <w:rPr>
                <w:rFonts w:asciiTheme="minorHAnsi" w:eastAsiaTheme="minorEastAsia" w:hAnsiTheme="minorHAnsi" w:cstheme="minorBidi"/>
                <w:noProof/>
                <w:sz w:val="22"/>
                <w:lang w:eastAsia="cs-CZ"/>
              </w:rPr>
              <w:tab/>
            </w:r>
            <w:r w:rsidRPr="00094162">
              <w:rPr>
                <w:rStyle w:val="Hypertextovodkaz"/>
                <w:noProof/>
              </w:rPr>
              <w:t>Přínos internetové ekonomiky pro konkurenceschopnost ČR</w:t>
            </w:r>
            <w:r>
              <w:rPr>
                <w:noProof/>
                <w:webHidden/>
              </w:rPr>
              <w:tab/>
            </w:r>
            <w:r>
              <w:rPr>
                <w:noProof/>
                <w:webHidden/>
              </w:rPr>
              <w:fldChar w:fldCharType="begin"/>
            </w:r>
            <w:r>
              <w:rPr>
                <w:noProof/>
                <w:webHidden/>
              </w:rPr>
              <w:instrText xml:space="preserve"> PAGEREF _Toc368040291 \h </w:instrText>
            </w:r>
            <w:r>
              <w:rPr>
                <w:noProof/>
                <w:webHidden/>
              </w:rPr>
            </w:r>
            <w:r>
              <w:rPr>
                <w:noProof/>
                <w:webHidden/>
              </w:rPr>
              <w:fldChar w:fldCharType="separate"/>
            </w:r>
            <w:r>
              <w:rPr>
                <w:noProof/>
                <w:webHidden/>
              </w:rPr>
              <w:t>40</w:t>
            </w:r>
            <w:r>
              <w:rPr>
                <w:noProof/>
                <w:webHidden/>
              </w:rPr>
              <w:fldChar w:fldCharType="end"/>
            </w:r>
          </w:hyperlink>
        </w:p>
        <w:p w:rsidR="00671442" w:rsidRDefault="00671442">
          <w:pPr>
            <w:pStyle w:val="Obsah1"/>
            <w:tabs>
              <w:tab w:val="left" w:pos="480"/>
              <w:tab w:val="right" w:leader="dot" w:pos="9060"/>
            </w:tabs>
            <w:rPr>
              <w:rFonts w:asciiTheme="minorHAnsi" w:eastAsiaTheme="minorEastAsia" w:hAnsiTheme="minorHAnsi" w:cstheme="minorBidi"/>
              <w:noProof/>
              <w:sz w:val="22"/>
              <w:lang w:eastAsia="cs-CZ"/>
            </w:rPr>
          </w:pPr>
          <w:hyperlink w:anchor="_Toc368040292" w:history="1">
            <w:r w:rsidRPr="00094162">
              <w:rPr>
                <w:rStyle w:val="Hypertextovodkaz"/>
                <w:noProof/>
              </w:rPr>
              <w:t>6</w:t>
            </w:r>
            <w:r>
              <w:rPr>
                <w:rFonts w:asciiTheme="minorHAnsi" w:eastAsiaTheme="minorEastAsia" w:hAnsiTheme="minorHAnsi" w:cstheme="minorBidi"/>
                <w:noProof/>
                <w:sz w:val="22"/>
                <w:lang w:eastAsia="cs-CZ"/>
              </w:rPr>
              <w:tab/>
            </w:r>
            <w:r w:rsidRPr="00094162">
              <w:rPr>
                <w:rStyle w:val="Hypertextovodkaz"/>
                <w:noProof/>
              </w:rPr>
              <w:t>Trendy v internetové ekonomice</w:t>
            </w:r>
            <w:r>
              <w:rPr>
                <w:noProof/>
                <w:webHidden/>
              </w:rPr>
              <w:tab/>
            </w:r>
            <w:r>
              <w:rPr>
                <w:noProof/>
                <w:webHidden/>
              </w:rPr>
              <w:fldChar w:fldCharType="begin"/>
            </w:r>
            <w:r>
              <w:rPr>
                <w:noProof/>
                <w:webHidden/>
              </w:rPr>
              <w:instrText xml:space="preserve"> PAGEREF _Toc368040292 \h </w:instrText>
            </w:r>
            <w:r>
              <w:rPr>
                <w:noProof/>
                <w:webHidden/>
              </w:rPr>
            </w:r>
            <w:r>
              <w:rPr>
                <w:noProof/>
                <w:webHidden/>
              </w:rPr>
              <w:fldChar w:fldCharType="separate"/>
            </w:r>
            <w:r>
              <w:rPr>
                <w:noProof/>
                <w:webHidden/>
              </w:rPr>
              <w:t>43</w:t>
            </w:r>
            <w:r>
              <w:rPr>
                <w:noProof/>
                <w:webHidden/>
              </w:rPr>
              <w:fldChar w:fldCharType="end"/>
            </w:r>
          </w:hyperlink>
        </w:p>
        <w:p w:rsidR="00671442" w:rsidRDefault="00671442">
          <w:pPr>
            <w:pStyle w:val="Obsah2"/>
            <w:tabs>
              <w:tab w:val="left" w:pos="880"/>
              <w:tab w:val="right" w:leader="dot" w:pos="9060"/>
            </w:tabs>
            <w:rPr>
              <w:rFonts w:asciiTheme="minorHAnsi" w:eastAsiaTheme="minorEastAsia" w:hAnsiTheme="minorHAnsi" w:cstheme="minorBidi"/>
              <w:noProof/>
              <w:sz w:val="22"/>
              <w:lang w:eastAsia="cs-CZ"/>
            </w:rPr>
          </w:pPr>
          <w:hyperlink w:anchor="_Toc368040293" w:history="1">
            <w:r w:rsidRPr="00094162">
              <w:rPr>
                <w:rStyle w:val="Hypertextovodkaz"/>
                <w:noProof/>
              </w:rPr>
              <w:t>6.1</w:t>
            </w:r>
            <w:r>
              <w:rPr>
                <w:rFonts w:asciiTheme="minorHAnsi" w:eastAsiaTheme="minorEastAsia" w:hAnsiTheme="minorHAnsi" w:cstheme="minorBidi"/>
                <w:noProof/>
                <w:sz w:val="22"/>
                <w:lang w:eastAsia="cs-CZ"/>
              </w:rPr>
              <w:tab/>
            </w:r>
            <w:r w:rsidRPr="00094162">
              <w:rPr>
                <w:rStyle w:val="Hypertextovodkaz"/>
                <w:noProof/>
              </w:rPr>
              <w:t>Cloud computing</w:t>
            </w:r>
            <w:r>
              <w:rPr>
                <w:noProof/>
                <w:webHidden/>
              </w:rPr>
              <w:tab/>
            </w:r>
            <w:r>
              <w:rPr>
                <w:noProof/>
                <w:webHidden/>
              </w:rPr>
              <w:fldChar w:fldCharType="begin"/>
            </w:r>
            <w:r>
              <w:rPr>
                <w:noProof/>
                <w:webHidden/>
              </w:rPr>
              <w:instrText xml:space="preserve"> PAGEREF _Toc368040293 \h </w:instrText>
            </w:r>
            <w:r>
              <w:rPr>
                <w:noProof/>
                <w:webHidden/>
              </w:rPr>
            </w:r>
            <w:r>
              <w:rPr>
                <w:noProof/>
                <w:webHidden/>
              </w:rPr>
              <w:fldChar w:fldCharType="separate"/>
            </w:r>
            <w:r>
              <w:rPr>
                <w:noProof/>
                <w:webHidden/>
              </w:rPr>
              <w:t>43</w:t>
            </w:r>
            <w:r>
              <w:rPr>
                <w:noProof/>
                <w:webHidden/>
              </w:rPr>
              <w:fldChar w:fldCharType="end"/>
            </w:r>
          </w:hyperlink>
        </w:p>
        <w:p w:rsidR="00671442" w:rsidRDefault="00671442">
          <w:pPr>
            <w:pStyle w:val="Obsah2"/>
            <w:tabs>
              <w:tab w:val="left" w:pos="880"/>
              <w:tab w:val="right" w:leader="dot" w:pos="9060"/>
            </w:tabs>
            <w:rPr>
              <w:rFonts w:asciiTheme="minorHAnsi" w:eastAsiaTheme="minorEastAsia" w:hAnsiTheme="minorHAnsi" w:cstheme="minorBidi"/>
              <w:noProof/>
              <w:sz w:val="22"/>
              <w:lang w:eastAsia="cs-CZ"/>
            </w:rPr>
          </w:pPr>
          <w:hyperlink w:anchor="_Toc368040294" w:history="1">
            <w:r w:rsidRPr="00094162">
              <w:rPr>
                <w:rStyle w:val="Hypertextovodkaz"/>
                <w:noProof/>
              </w:rPr>
              <w:t>6.2</w:t>
            </w:r>
            <w:r>
              <w:rPr>
                <w:rFonts w:asciiTheme="minorHAnsi" w:eastAsiaTheme="minorEastAsia" w:hAnsiTheme="minorHAnsi" w:cstheme="minorBidi"/>
                <w:noProof/>
                <w:sz w:val="22"/>
                <w:lang w:eastAsia="cs-CZ"/>
              </w:rPr>
              <w:tab/>
            </w:r>
            <w:r w:rsidRPr="00094162">
              <w:rPr>
                <w:rStyle w:val="Hypertextovodkaz"/>
                <w:noProof/>
              </w:rPr>
              <w:t>Internet věcí</w:t>
            </w:r>
            <w:r>
              <w:rPr>
                <w:noProof/>
                <w:webHidden/>
              </w:rPr>
              <w:tab/>
            </w:r>
            <w:r>
              <w:rPr>
                <w:noProof/>
                <w:webHidden/>
              </w:rPr>
              <w:fldChar w:fldCharType="begin"/>
            </w:r>
            <w:r>
              <w:rPr>
                <w:noProof/>
                <w:webHidden/>
              </w:rPr>
              <w:instrText xml:space="preserve"> PAGEREF _Toc368040294 \h </w:instrText>
            </w:r>
            <w:r>
              <w:rPr>
                <w:noProof/>
                <w:webHidden/>
              </w:rPr>
            </w:r>
            <w:r>
              <w:rPr>
                <w:noProof/>
                <w:webHidden/>
              </w:rPr>
              <w:fldChar w:fldCharType="separate"/>
            </w:r>
            <w:r>
              <w:rPr>
                <w:noProof/>
                <w:webHidden/>
              </w:rPr>
              <w:t>45</w:t>
            </w:r>
            <w:r>
              <w:rPr>
                <w:noProof/>
                <w:webHidden/>
              </w:rPr>
              <w:fldChar w:fldCharType="end"/>
            </w:r>
          </w:hyperlink>
        </w:p>
        <w:p w:rsidR="00671442" w:rsidRDefault="00671442">
          <w:pPr>
            <w:pStyle w:val="Obsah2"/>
            <w:tabs>
              <w:tab w:val="left" w:pos="880"/>
              <w:tab w:val="right" w:leader="dot" w:pos="9060"/>
            </w:tabs>
            <w:rPr>
              <w:rFonts w:asciiTheme="minorHAnsi" w:eastAsiaTheme="minorEastAsia" w:hAnsiTheme="minorHAnsi" w:cstheme="minorBidi"/>
              <w:noProof/>
              <w:sz w:val="22"/>
              <w:lang w:eastAsia="cs-CZ"/>
            </w:rPr>
          </w:pPr>
          <w:hyperlink w:anchor="_Toc368040295" w:history="1">
            <w:r w:rsidRPr="00094162">
              <w:rPr>
                <w:rStyle w:val="Hypertextovodkaz"/>
                <w:noProof/>
              </w:rPr>
              <w:t>6.3</w:t>
            </w:r>
            <w:r>
              <w:rPr>
                <w:rFonts w:asciiTheme="minorHAnsi" w:eastAsiaTheme="minorEastAsia" w:hAnsiTheme="minorHAnsi" w:cstheme="minorBidi"/>
                <w:noProof/>
                <w:sz w:val="22"/>
                <w:lang w:eastAsia="cs-CZ"/>
              </w:rPr>
              <w:tab/>
            </w:r>
            <w:r w:rsidRPr="00094162">
              <w:rPr>
                <w:rStyle w:val="Hypertextovodkaz"/>
                <w:noProof/>
              </w:rPr>
              <w:t>Big data</w:t>
            </w:r>
            <w:r>
              <w:rPr>
                <w:noProof/>
                <w:webHidden/>
              </w:rPr>
              <w:tab/>
            </w:r>
            <w:r>
              <w:rPr>
                <w:noProof/>
                <w:webHidden/>
              </w:rPr>
              <w:fldChar w:fldCharType="begin"/>
            </w:r>
            <w:r>
              <w:rPr>
                <w:noProof/>
                <w:webHidden/>
              </w:rPr>
              <w:instrText xml:space="preserve"> PAGEREF _Toc368040295 \h </w:instrText>
            </w:r>
            <w:r>
              <w:rPr>
                <w:noProof/>
                <w:webHidden/>
              </w:rPr>
            </w:r>
            <w:r>
              <w:rPr>
                <w:noProof/>
                <w:webHidden/>
              </w:rPr>
              <w:fldChar w:fldCharType="separate"/>
            </w:r>
            <w:r>
              <w:rPr>
                <w:noProof/>
                <w:webHidden/>
              </w:rPr>
              <w:t>45</w:t>
            </w:r>
            <w:r>
              <w:rPr>
                <w:noProof/>
                <w:webHidden/>
              </w:rPr>
              <w:fldChar w:fldCharType="end"/>
            </w:r>
          </w:hyperlink>
        </w:p>
        <w:p w:rsidR="00671442" w:rsidRDefault="00671442">
          <w:pPr>
            <w:pStyle w:val="Obsah2"/>
            <w:tabs>
              <w:tab w:val="left" w:pos="880"/>
              <w:tab w:val="right" w:leader="dot" w:pos="9060"/>
            </w:tabs>
            <w:rPr>
              <w:rFonts w:asciiTheme="minorHAnsi" w:eastAsiaTheme="minorEastAsia" w:hAnsiTheme="minorHAnsi" w:cstheme="minorBidi"/>
              <w:noProof/>
              <w:sz w:val="22"/>
              <w:lang w:eastAsia="cs-CZ"/>
            </w:rPr>
          </w:pPr>
          <w:hyperlink w:anchor="_Toc368040296" w:history="1">
            <w:r w:rsidRPr="00094162">
              <w:rPr>
                <w:rStyle w:val="Hypertextovodkaz"/>
                <w:noProof/>
              </w:rPr>
              <w:t>6.4</w:t>
            </w:r>
            <w:r>
              <w:rPr>
                <w:rFonts w:asciiTheme="minorHAnsi" w:eastAsiaTheme="minorEastAsia" w:hAnsiTheme="minorHAnsi" w:cstheme="minorBidi"/>
                <w:noProof/>
                <w:sz w:val="22"/>
                <w:lang w:eastAsia="cs-CZ"/>
              </w:rPr>
              <w:tab/>
            </w:r>
            <w:r w:rsidRPr="00094162">
              <w:rPr>
                <w:rStyle w:val="Hypertextovodkaz"/>
                <w:noProof/>
              </w:rPr>
              <w:t>Nástup videa přes internet</w:t>
            </w:r>
            <w:r>
              <w:rPr>
                <w:noProof/>
                <w:webHidden/>
              </w:rPr>
              <w:tab/>
            </w:r>
            <w:r>
              <w:rPr>
                <w:noProof/>
                <w:webHidden/>
              </w:rPr>
              <w:fldChar w:fldCharType="begin"/>
            </w:r>
            <w:r>
              <w:rPr>
                <w:noProof/>
                <w:webHidden/>
              </w:rPr>
              <w:instrText xml:space="preserve"> PAGEREF _Toc368040296 \h </w:instrText>
            </w:r>
            <w:r>
              <w:rPr>
                <w:noProof/>
                <w:webHidden/>
              </w:rPr>
            </w:r>
            <w:r>
              <w:rPr>
                <w:noProof/>
                <w:webHidden/>
              </w:rPr>
              <w:fldChar w:fldCharType="separate"/>
            </w:r>
            <w:r>
              <w:rPr>
                <w:noProof/>
                <w:webHidden/>
              </w:rPr>
              <w:t>46</w:t>
            </w:r>
            <w:r>
              <w:rPr>
                <w:noProof/>
                <w:webHidden/>
              </w:rPr>
              <w:fldChar w:fldCharType="end"/>
            </w:r>
          </w:hyperlink>
        </w:p>
        <w:p w:rsidR="00671442" w:rsidRDefault="00671442">
          <w:pPr>
            <w:pStyle w:val="Obsah2"/>
            <w:tabs>
              <w:tab w:val="left" w:pos="880"/>
              <w:tab w:val="right" w:leader="dot" w:pos="9060"/>
            </w:tabs>
            <w:rPr>
              <w:rFonts w:asciiTheme="minorHAnsi" w:eastAsiaTheme="minorEastAsia" w:hAnsiTheme="minorHAnsi" w:cstheme="minorBidi"/>
              <w:noProof/>
              <w:sz w:val="22"/>
              <w:lang w:eastAsia="cs-CZ"/>
            </w:rPr>
          </w:pPr>
          <w:hyperlink w:anchor="_Toc368040297" w:history="1">
            <w:r w:rsidRPr="00094162">
              <w:rPr>
                <w:rStyle w:val="Hypertextovodkaz"/>
                <w:noProof/>
              </w:rPr>
              <w:t>6.5</w:t>
            </w:r>
            <w:r>
              <w:rPr>
                <w:rFonts w:asciiTheme="minorHAnsi" w:eastAsiaTheme="minorEastAsia" w:hAnsiTheme="minorHAnsi" w:cstheme="minorBidi"/>
                <w:noProof/>
                <w:sz w:val="22"/>
                <w:lang w:eastAsia="cs-CZ"/>
              </w:rPr>
              <w:tab/>
            </w:r>
            <w:r w:rsidRPr="00094162">
              <w:rPr>
                <w:rStyle w:val="Hypertextovodkaz"/>
                <w:noProof/>
              </w:rPr>
              <w:t>Mobilita internetu</w:t>
            </w:r>
            <w:r>
              <w:rPr>
                <w:noProof/>
                <w:webHidden/>
              </w:rPr>
              <w:tab/>
            </w:r>
            <w:r>
              <w:rPr>
                <w:noProof/>
                <w:webHidden/>
              </w:rPr>
              <w:fldChar w:fldCharType="begin"/>
            </w:r>
            <w:r>
              <w:rPr>
                <w:noProof/>
                <w:webHidden/>
              </w:rPr>
              <w:instrText xml:space="preserve"> PAGEREF _Toc368040297 \h </w:instrText>
            </w:r>
            <w:r>
              <w:rPr>
                <w:noProof/>
                <w:webHidden/>
              </w:rPr>
            </w:r>
            <w:r>
              <w:rPr>
                <w:noProof/>
                <w:webHidden/>
              </w:rPr>
              <w:fldChar w:fldCharType="separate"/>
            </w:r>
            <w:r>
              <w:rPr>
                <w:noProof/>
                <w:webHidden/>
              </w:rPr>
              <w:t>47</w:t>
            </w:r>
            <w:r>
              <w:rPr>
                <w:noProof/>
                <w:webHidden/>
              </w:rPr>
              <w:fldChar w:fldCharType="end"/>
            </w:r>
          </w:hyperlink>
        </w:p>
        <w:p w:rsidR="00671442" w:rsidRDefault="00671442">
          <w:pPr>
            <w:pStyle w:val="Obsah2"/>
            <w:tabs>
              <w:tab w:val="left" w:pos="880"/>
              <w:tab w:val="right" w:leader="dot" w:pos="9060"/>
            </w:tabs>
            <w:rPr>
              <w:rFonts w:asciiTheme="minorHAnsi" w:eastAsiaTheme="minorEastAsia" w:hAnsiTheme="minorHAnsi" w:cstheme="minorBidi"/>
              <w:noProof/>
              <w:sz w:val="22"/>
              <w:lang w:eastAsia="cs-CZ"/>
            </w:rPr>
          </w:pPr>
          <w:hyperlink w:anchor="_Toc368040298" w:history="1">
            <w:r w:rsidRPr="00094162">
              <w:rPr>
                <w:rStyle w:val="Hypertextovodkaz"/>
                <w:noProof/>
              </w:rPr>
              <w:t>6.6</w:t>
            </w:r>
            <w:r>
              <w:rPr>
                <w:rFonts w:asciiTheme="minorHAnsi" w:eastAsiaTheme="minorEastAsia" w:hAnsiTheme="minorHAnsi" w:cstheme="minorBidi"/>
                <w:noProof/>
                <w:sz w:val="22"/>
                <w:lang w:eastAsia="cs-CZ"/>
              </w:rPr>
              <w:tab/>
            </w:r>
            <w:r w:rsidRPr="00094162">
              <w:rPr>
                <w:rStyle w:val="Hypertextovodkaz"/>
                <w:noProof/>
              </w:rPr>
              <w:t>Augmented reality</w:t>
            </w:r>
            <w:r>
              <w:rPr>
                <w:noProof/>
                <w:webHidden/>
              </w:rPr>
              <w:tab/>
            </w:r>
            <w:r>
              <w:rPr>
                <w:noProof/>
                <w:webHidden/>
              </w:rPr>
              <w:fldChar w:fldCharType="begin"/>
            </w:r>
            <w:r>
              <w:rPr>
                <w:noProof/>
                <w:webHidden/>
              </w:rPr>
              <w:instrText xml:space="preserve"> PAGEREF _Toc368040298 \h </w:instrText>
            </w:r>
            <w:r>
              <w:rPr>
                <w:noProof/>
                <w:webHidden/>
              </w:rPr>
            </w:r>
            <w:r>
              <w:rPr>
                <w:noProof/>
                <w:webHidden/>
              </w:rPr>
              <w:fldChar w:fldCharType="separate"/>
            </w:r>
            <w:r>
              <w:rPr>
                <w:noProof/>
                <w:webHidden/>
              </w:rPr>
              <w:t>48</w:t>
            </w:r>
            <w:r>
              <w:rPr>
                <w:noProof/>
                <w:webHidden/>
              </w:rPr>
              <w:fldChar w:fldCharType="end"/>
            </w:r>
          </w:hyperlink>
        </w:p>
        <w:p w:rsidR="00671442" w:rsidRDefault="00671442">
          <w:pPr>
            <w:pStyle w:val="Obsah2"/>
            <w:tabs>
              <w:tab w:val="left" w:pos="880"/>
              <w:tab w:val="right" w:leader="dot" w:pos="9060"/>
            </w:tabs>
            <w:rPr>
              <w:rFonts w:asciiTheme="minorHAnsi" w:eastAsiaTheme="minorEastAsia" w:hAnsiTheme="minorHAnsi" w:cstheme="minorBidi"/>
              <w:noProof/>
              <w:sz w:val="22"/>
              <w:lang w:eastAsia="cs-CZ"/>
            </w:rPr>
          </w:pPr>
          <w:hyperlink w:anchor="_Toc368040299" w:history="1">
            <w:r w:rsidRPr="00094162">
              <w:rPr>
                <w:rStyle w:val="Hypertextovodkaz"/>
                <w:noProof/>
              </w:rPr>
              <w:t>6.7</w:t>
            </w:r>
            <w:r>
              <w:rPr>
                <w:rFonts w:asciiTheme="minorHAnsi" w:eastAsiaTheme="minorEastAsia" w:hAnsiTheme="minorHAnsi" w:cstheme="minorBidi"/>
                <w:noProof/>
                <w:sz w:val="22"/>
                <w:lang w:eastAsia="cs-CZ"/>
              </w:rPr>
              <w:tab/>
            </w:r>
            <w:r w:rsidRPr="00094162">
              <w:rPr>
                <w:rStyle w:val="Hypertextovodkaz"/>
                <w:noProof/>
              </w:rPr>
              <w:t>Gamification</w:t>
            </w:r>
            <w:r>
              <w:rPr>
                <w:noProof/>
                <w:webHidden/>
              </w:rPr>
              <w:tab/>
            </w:r>
            <w:r>
              <w:rPr>
                <w:noProof/>
                <w:webHidden/>
              </w:rPr>
              <w:fldChar w:fldCharType="begin"/>
            </w:r>
            <w:r>
              <w:rPr>
                <w:noProof/>
                <w:webHidden/>
              </w:rPr>
              <w:instrText xml:space="preserve"> PAGEREF _Toc368040299 \h </w:instrText>
            </w:r>
            <w:r>
              <w:rPr>
                <w:noProof/>
                <w:webHidden/>
              </w:rPr>
            </w:r>
            <w:r>
              <w:rPr>
                <w:noProof/>
                <w:webHidden/>
              </w:rPr>
              <w:fldChar w:fldCharType="separate"/>
            </w:r>
            <w:r>
              <w:rPr>
                <w:noProof/>
                <w:webHidden/>
              </w:rPr>
              <w:t>48</w:t>
            </w:r>
            <w:r>
              <w:rPr>
                <w:noProof/>
                <w:webHidden/>
              </w:rPr>
              <w:fldChar w:fldCharType="end"/>
            </w:r>
          </w:hyperlink>
        </w:p>
        <w:p w:rsidR="00671442" w:rsidRDefault="00671442">
          <w:pPr>
            <w:pStyle w:val="Obsah1"/>
            <w:tabs>
              <w:tab w:val="left" w:pos="480"/>
              <w:tab w:val="right" w:leader="dot" w:pos="9060"/>
            </w:tabs>
            <w:rPr>
              <w:rFonts w:asciiTheme="minorHAnsi" w:eastAsiaTheme="minorEastAsia" w:hAnsiTheme="minorHAnsi" w:cstheme="minorBidi"/>
              <w:noProof/>
              <w:sz w:val="22"/>
              <w:lang w:eastAsia="cs-CZ"/>
            </w:rPr>
          </w:pPr>
          <w:hyperlink w:anchor="_Toc368040300" w:history="1">
            <w:r w:rsidRPr="00094162">
              <w:rPr>
                <w:rStyle w:val="Hypertextovodkaz"/>
                <w:noProof/>
              </w:rPr>
              <w:t>7</w:t>
            </w:r>
            <w:r>
              <w:rPr>
                <w:rFonts w:asciiTheme="minorHAnsi" w:eastAsiaTheme="minorEastAsia" w:hAnsiTheme="minorHAnsi" w:cstheme="minorBidi"/>
                <w:noProof/>
                <w:sz w:val="22"/>
                <w:lang w:eastAsia="cs-CZ"/>
              </w:rPr>
              <w:tab/>
            </w:r>
            <w:r w:rsidRPr="00094162">
              <w:rPr>
                <w:rStyle w:val="Hypertextovodkaz"/>
                <w:noProof/>
              </w:rPr>
              <w:t>Bariéry rozvoje internetu a internetové ekonomiky v České republice</w:t>
            </w:r>
            <w:r>
              <w:rPr>
                <w:noProof/>
                <w:webHidden/>
              </w:rPr>
              <w:tab/>
            </w:r>
            <w:r>
              <w:rPr>
                <w:noProof/>
                <w:webHidden/>
              </w:rPr>
              <w:fldChar w:fldCharType="begin"/>
            </w:r>
            <w:r>
              <w:rPr>
                <w:noProof/>
                <w:webHidden/>
              </w:rPr>
              <w:instrText xml:space="preserve"> PAGEREF _Toc368040300 \h </w:instrText>
            </w:r>
            <w:r>
              <w:rPr>
                <w:noProof/>
                <w:webHidden/>
              </w:rPr>
            </w:r>
            <w:r>
              <w:rPr>
                <w:noProof/>
                <w:webHidden/>
              </w:rPr>
              <w:fldChar w:fldCharType="separate"/>
            </w:r>
            <w:r>
              <w:rPr>
                <w:noProof/>
                <w:webHidden/>
              </w:rPr>
              <w:t>49</w:t>
            </w:r>
            <w:r>
              <w:rPr>
                <w:noProof/>
                <w:webHidden/>
              </w:rPr>
              <w:fldChar w:fldCharType="end"/>
            </w:r>
          </w:hyperlink>
        </w:p>
        <w:p w:rsidR="00671442" w:rsidRDefault="00671442">
          <w:pPr>
            <w:pStyle w:val="Obsah2"/>
            <w:tabs>
              <w:tab w:val="left" w:pos="880"/>
              <w:tab w:val="right" w:leader="dot" w:pos="9060"/>
            </w:tabs>
            <w:rPr>
              <w:rFonts w:asciiTheme="minorHAnsi" w:eastAsiaTheme="minorEastAsia" w:hAnsiTheme="minorHAnsi" w:cstheme="minorBidi"/>
              <w:noProof/>
              <w:sz w:val="22"/>
              <w:lang w:eastAsia="cs-CZ"/>
            </w:rPr>
          </w:pPr>
          <w:hyperlink w:anchor="_Toc368040301" w:history="1">
            <w:r w:rsidRPr="00094162">
              <w:rPr>
                <w:rStyle w:val="Hypertextovodkaz"/>
                <w:noProof/>
              </w:rPr>
              <w:t>7.1</w:t>
            </w:r>
            <w:r>
              <w:rPr>
                <w:rFonts w:asciiTheme="minorHAnsi" w:eastAsiaTheme="minorEastAsia" w:hAnsiTheme="minorHAnsi" w:cstheme="minorBidi"/>
                <w:noProof/>
                <w:sz w:val="22"/>
                <w:lang w:eastAsia="cs-CZ"/>
              </w:rPr>
              <w:tab/>
            </w:r>
            <w:r w:rsidRPr="00094162">
              <w:rPr>
                <w:rStyle w:val="Hypertextovodkaz"/>
                <w:noProof/>
              </w:rPr>
              <w:t>Typy bariér rozvoje internetu a internetové ekonomiky – teoretický rámec</w:t>
            </w:r>
            <w:r>
              <w:rPr>
                <w:noProof/>
                <w:webHidden/>
              </w:rPr>
              <w:tab/>
            </w:r>
            <w:r>
              <w:rPr>
                <w:noProof/>
                <w:webHidden/>
              </w:rPr>
              <w:fldChar w:fldCharType="begin"/>
            </w:r>
            <w:r>
              <w:rPr>
                <w:noProof/>
                <w:webHidden/>
              </w:rPr>
              <w:instrText xml:space="preserve"> PAGEREF _Toc368040301 \h </w:instrText>
            </w:r>
            <w:r>
              <w:rPr>
                <w:noProof/>
                <w:webHidden/>
              </w:rPr>
            </w:r>
            <w:r>
              <w:rPr>
                <w:noProof/>
                <w:webHidden/>
              </w:rPr>
              <w:fldChar w:fldCharType="separate"/>
            </w:r>
            <w:r>
              <w:rPr>
                <w:noProof/>
                <w:webHidden/>
              </w:rPr>
              <w:t>49</w:t>
            </w:r>
            <w:r>
              <w:rPr>
                <w:noProof/>
                <w:webHidden/>
              </w:rPr>
              <w:fldChar w:fldCharType="end"/>
            </w:r>
          </w:hyperlink>
        </w:p>
        <w:p w:rsidR="00671442" w:rsidRDefault="00671442">
          <w:pPr>
            <w:pStyle w:val="Obsah2"/>
            <w:tabs>
              <w:tab w:val="left" w:pos="880"/>
              <w:tab w:val="right" w:leader="dot" w:pos="9060"/>
            </w:tabs>
            <w:rPr>
              <w:rFonts w:asciiTheme="minorHAnsi" w:eastAsiaTheme="minorEastAsia" w:hAnsiTheme="minorHAnsi" w:cstheme="minorBidi"/>
              <w:noProof/>
              <w:sz w:val="22"/>
              <w:lang w:eastAsia="cs-CZ"/>
            </w:rPr>
          </w:pPr>
          <w:hyperlink w:anchor="_Toc368040302" w:history="1">
            <w:r w:rsidRPr="00094162">
              <w:rPr>
                <w:rStyle w:val="Hypertextovodkaz"/>
                <w:noProof/>
              </w:rPr>
              <w:t>7.2</w:t>
            </w:r>
            <w:r>
              <w:rPr>
                <w:rFonts w:asciiTheme="minorHAnsi" w:eastAsiaTheme="minorEastAsia" w:hAnsiTheme="minorHAnsi" w:cstheme="minorBidi"/>
                <w:noProof/>
                <w:sz w:val="22"/>
                <w:lang w:eastAsia="cs-CZ"/>
              </w:rPr>
              <w:tab/>
            </w:r>
            <w:r w:rsidRPr="00094162">
              <w:rPr>
                <w:rStyle w:val="Hypertextovodkaz"/>
                <w:noProof/>
              </w:rPr>
              <w:t>Konzultace – kvantitativní shrnutí výsledků</w:t>
            </w:r>
            <w:r>
              <w:rPr>
                <w:noProof/>
                <w:webHidden/>
              </w:rPr>
              <w:tab/>
            </w:r>
            <w:r>
              <w:rPr>
                <w:noProof/>
                <w:webHidden/>
              </w:rPr>
              <w:fldChar w:fldCharType="begin"/>
            </w:r>
            <w:r>
              <w:rPr>
                <w:noProof/>
                <w:webHidden/>
              </w:rPr>
              <w:instrText xml:space="preserve"> PAGEREF _Toc368040302 \h </w:instrText>
            </w:r>
            <w:r>
              <w:rPr>
                <w:noProof/>
                <w:webHidden/>
              </w:rPr>
            </w:r>
            <w:r>
              <w:rPr>
                <w:noProof/>
                <w:webHidden/>
              </w:rPr>
              <w:fldChar w:fldCharType="separate"/>
            </w:r>
            <w:r>
              <w:rPr>
                <w:noProof/>
                <w:webHidden/>
              </w:rPr>
              <w:t>51</w:t>
            </w:r>
            <w:r>
              <w:rPr>
                <w:noProof/>
                <w:webHidden/>
              </w:rPr>
              <w:fldChar w:fldCharType="end"/>
            </w:r>
          </w:hyperlink>
        </w:p>
        <w:p w:rsidR="00671442" w:rsidRDefault="00671442">
          <w:pPr>
            <w:pStyle w:val="Obsah2"/>
            <w:tabs>
              <w:tab w:val="left" w:pos="880"/>
              <w:tab w:val="right" w:leader="dot" w:pos="9060"/>
            </w:tabs>
            <w:rPr>
              <w:rFonts w:asciiTheme="minorHAnsi" w:eastAsiaTheme="minorEastAsia" w:hAnsiTheme="minorHAnsi" w:cstheme="minorBidi"/>
              <w:noProof/>
              <w:sz w:val="22"/>
              <w:lang w:eastAsia="cs-CZ"/>
            </w:rPr>
          </w:pPr>
          <w:hyperlink w:anchor="_Toc368040303" w:history="1">
            <w:r w:rsidRPr="00094162">
              <w:rPr>
                <w:rStyle w:val="Hypertextovodkaz"/>
                <w:noProof/>
              </w:rPr>
              <w:t>7.3</w:t>
            </w:r>
            <w:r>
              <w:rPr>
                <w:rFonts w:asciiTheme="minorHAnsi" w:eastAsiaTheme="minorEastAsia" w:hAnsiTheme="minorHAnsi" w:cstheme="minorBidi"/>
                <w:noProof/>
                <w:sz w:val="22"/>
                <w:lang w:eastAsia="cs-CZ"/>
              </w:rPr>
              <w:tab/>
            </w:r>
            <w:r w:rsidRPr="00094162">
              <w:rPr>
                <w:rStyle w:val="Hypertextovodkaz"/>
                <w:noProof/>
              </w:rPr>
              <w:t>Doporučení k jednotlivým identifikovaným problémovým okruhům</w:t>
            </w:r>
            <w:r>
              <w:rPr>
                <w:noProof/>
                <w:webHidden/>
              </w:rPr>
              <w:tab/>
            </w:r>
            <w:r>
              <w:rPr>
                <w:noProof/>
                <w:webHidden/>
              </w:rPr>
              <w:fldChar w:fldCharType="begin"/>
            </w:r>
            <w:r>
              <w:rPr>
                <w:noProof/>
                <w:webHidden/>
              </w:rPr>
              <w:instrText xml:space="preserve"> PAGEREF _Toc368040303 \h </w:instrText>
            </w:r>
            <w:r>
              <w:rPr>
                <w:noProof/>
                <w:webHidden/>
              </w:rPr>
            </w:r>
            <w:r>
              <w:rPr>
                <w:noProof/>
                <w:webHidden/>
              </w:rPr>
              <w:fldChar w:fldCharType="separate"/>
            </w:r>
            <w:r>
              <w:rPr>
                <w:noProof/>
                <w:webHidden/>
              </w:rPr>
              <w:t>51</w:t>
            </w:r>
            <w:r>
              <w:rPr>
                <w:noProof/>
                <w:webHidden/>
              </w:rPr>
              <w:fldChar w:fldCharType="end"/>
            </w:r>
          </w:hyperlink>
        </w:p>
        <w:p w:rsidR="00671442" w:rsidRDefault="00671442">
          <w:pPr>
            <w:pStyle w:val="Obsah3"/>
            <w:tabs>
              <w:tab w:val="left" w:pos="1320"/>
              <w:tab w:val="right" w:leader="dot" w:pos="9060"/>
            </w:tabs>
            <w:rPr>
              <w:rFonts w:asciiTheme="minorHAnsi" w:eastAsiaTheme="minorEastAsia" w:hAnsiTheme="minorHAnsi" w:cstheme="minorBidi"/>
              <w:noProof/>
              <w:sz w:val="22"/>
              <w:lang w:eastAsia="cs-CZ"/>
            </w:rPr>
          </w:pPr>
          <w:hyperlink w:anchor="_Toc368040304" w:history="1">
            <w:r w:rsidRPr="00094162">
              <w:rPr>
                <w:rStyle w:val="Hypertextovodkaz"/>
                <w:noProof/>
              </w:rPr>
              <w:t>7.3.1</w:t>
            </w:r>
            <w:r>
              <w:rPr>
                <w:rFonts w:asciiTheme="minorHAnsi" w:eastAsiaTheme="minorEastAsia" w:hAnsiTheme="minorHAnsi" w:cstheme="minorBidi"/>
                <w:noProof/>
                <w:sz w:val="22"/>
                <w:lang w:eastAsia="cs-CZ"/>
              </w:rPr>
              <w:tab/>
            </w:r>
            <w:r w:rsidRPr="00094162">
              <w:rPr>
                <w:rStyle w:val="Hypertextovodkaz"/>
                <w:noProof/>
              </w:rPr>
              <w:t>Internet pro konkurenceschopnost</w:t>
            </w:r>
            <w:r>
              <w:rPr>
                <w:noProof/>
                <w:webHidden/>
              </w:rPr>
              <w:tab/>
            </w:r>
            <w:r>
              <w:rPr>
                <w:noProof/>
                <w:webHidden/>
              </w:rPr>
              <w:fldChar w:fldCharType="begin"/>
            </w:r>
            <w:r>
              <w:rPr>
                <w:noProof/>
                <w:webHidden/>
              </w:rPr>
              <w:instrText xml:space="preserve"> PAGEREF _Toc368040304 \h </w:instrText>
            </w:r>
            <w:r>
              <w:rPr>
                <w:noProof/>
                <w:webHidden/>
              </w:rPr>
            </w:r>
            <w:r>
              <w:rPr>
                <w:noProof/>
                <w:webHidden/>
              </w:rPr>
              <w:fldChar w:fldCharType="separate"/>
            </w:r>
            <w:r>
              <w:rPr>
                <w:noProof/>
                <w:webHidden/>
              </w:rPr>
              <w:t>51</w:t>
            </w:r>
            <w:r>
              <w:rPr>
                <w:noProof/>
                <w:webHidden/>
              </w:rPr>
              <w:fldChar w:fldCharType="end"/>
            </w:r>
          </w:hyperlink>
        </w:p>
        <w:p w:rsidR="00671442" w:rsidRDefault="00671442">
          <w:pPr>
            <w:pStyle w:val="Obsah3"/>
            <w:tabs>
              <w:tab w:val="left" w:pos="1320"/>
              <w:tab w:val="right" w:leader="dot" w:pos="9060"/>
            </w:tabs>
            <w:rPr>
              <w:rFonts w:asciiTheme="minorHAnsi" w:eastAsiaTheme="minorEastAsia" w:hAnsiTheme="minorHAnsi" w:cstheme="minorBidi"/>
              <w:noProof/>
              <w:sz w:val="22"/>
              <w:lang w:eastAsia="cs-CZ"/>
            </w:rPr>
          </w:pPr>
          <w:hyperlink w:anchor="_Toc368040305" w:history="1">
            <w:r w:rsidRPr="00094162">
              <w:rPr>
                <w:rStyle w:val="Hypertextovodkaz"/>
                <w:noProof/>
              </w:rPr>
              <w:t>7.3.2</w:t>
            </w:r>
            <w:r>
              <w:rPr>
                <w:rFonts w:asciiTheme="minorHAnsi" w:eastAsiaTheme="minorEastAsia" w:hAnsiTheme="minorHAnsi" w:cstheme="minorBidi"/>
                <w:noProof/>
                <w:sz w:val="22"/>
                <w:lang w:eastAsia="cs-CZ"/>
              </w:rPr>
              <w:tab/>
            </w:r>
            <w:r w:rsidRPr="00094162">
              <w:rPr>
                <w:rStyle w:val="Hypertextovodkaz"/>
                <w:noProof/>
              </w:rPr>
              <w:t>Personální obsazení ve veřejné správě</w:t>
            </w:r>
            <w:r>
              <w:rPr>
                <w:noProof/>
                <w:webHidden/>
              </w:rPr>
              <w:tab/>
            </w:r>
            <w:r>
              <w:rPr>
                <w:noProof/>
                <w:webHidden/>
              </w:rPr>
              <w:fldChar w:fldCharType="begin"/>
            </w:r>
            <w:r>
              <w:rPr>
                <w:noProof/>
                <w:webHidden/>
              </w:rPr>
              <w:instrText xml:space="preserve"> PAGEREF _Toc368040305 \h </w:instrText>
            </w:r>
            <w:r>
              <w:rPr>
                <w:noProof/>
                <w:webHidden/>
              </w:rPr>
            </w:r>
            <w:r>
              <w:rPr>
                <w:noProof/>
                <w:webHidden/>
              </w:rPr>
              <w:fldChar w:fldCharType="separate"/>
            </w:r>
            <w:r>
              <w:rPr>
                <w:noProof/>
                <w:webHidden/>
              </w:rPr>
              <w:t>54</w:t>
            </w:r>
            <w:r>
              <w:rPr>
                <w:noProof/>
                <w:webHidden/>
              </w:rPr>
              <w:fldChar w:fldCharType="end"/>
            </w:r>
          </w:hyperlink>
        </w:p>
        <w:p w:rsidR="00671442" w:rsidRDefault="00671442">
          <w:pPr>
            <w:pStyle w:val="Obsah3"/>
            <w:tabs>
              <w:tab w:val="left" w:pos="1320"/>
              <w:tab w:val="right" w:leader="dot" w:pos="9060"/>
            </w:tabs>
            <w:rPr>
              <w:rFonts w:asciiTheme="minorHAnsi" w:eastAsiaTheme="minorEastAsia" w:hAnsiTheme="minorHAnsi" w:cstheme="minorBidi"/>
              <w:noProof/>
              <w:sz w:val="22"/>
              <w:lang w:eastAsia="cs-CZ"/>
            </w:rPr>
          </w:pPr>
          <w:hyperlink w:anchor="_Toc368040306" w:history="1">
            <w:r w:rsidRPr="00094162">
              <w:rPr>
                <w:rStyle w:val="Hypertextovodkaz"/>
                <w:noProof/>
              </w:rPr>
              <w:t>7.3.3</w:t>
            </w:r>
            <w:r>
              <w:rPr>
                <w:rFonts w:asciiTheme="minorHAnsi" w:eastAsiaTheme="minorEastAsia" w:hAnsiTheme="minorHAnsi" w:cstheme="minorBidi"/>
                <w:noProof/>
                <w:sz w:val="22"/>
                <w:lang w:eastAsia="cs-CZ"/>
              </w:rPr>
              <w:tab/>
            </w:r>
            <w:r w:rsidRPr="00094162">
              <w:rPr>
                <w:rStyle w:val="Hypertextovodkaz"/>
                <w:noProof/>
              </w:rPr>
              <w:t>Legislativa</w:t>
            </w:r>
            <w:r>
              <w:rPr>
                <w:noProof/>
                <w:webHidden/>
              </w:rPr>
              <w:tab/>
            </w:r>
            <w:r>
              <w:rPr>
                <w:noProof/>
                <w:webHidden/>
              </w:rPr>
              <w:fldChar w:fldCharType="begin"/>
            </w:r>
            <w:r>
              <w:rPr>
                <w:noProof/>
                <w:webHidden/>
              </w:rPr>
              <w:instrText xml:space="preserve"> PAGEREF _Toc368040306 \h </w:instrText>
            </w:r>
            <w:r>
              <w:rPr>
                <w:noProof/>
                <w:webHidden/>
              </w:rPr>
            </w:r>
            <w:r>
              <w:rPr>
                <w:noProof/>
                <w:webHidden/>
              </w:rPr>
              <w:fldChar w:fldCharType="separate"/>
            </w:r>
            <w:r>
              <w:rPr>
                <w:noProof/>
                <w:webHidden/>
              </w:rPr>
              <w:t>55</w:t>
            </w:r>
            <w:r>
              <w:rPr>
                <w:noProof/>
                <w:webHidden/>
              </w:rPr>
              <w:fldChar w:fldCharType="end"/>
            </w:r>
          </w:hyperlink>
        </w:p>
        <w:p w:rsidR="00671442" w:rsidRDefault="00671442">
          <w:pPr>
            <w:pStyle w:val="Obsah3"/>
            <w:tabs>
              <w:tab w:val="left" w:pos="1320"/>
              <w:tab w:val="right" w:leader="dot" w:pos="9060"/>
            </w:tabs>
            <w:rPr>
              <w:rFonts w:asciiTheme="minorHAnsi" w:eastAsiaTheme="minorEastAsia" w:hAnsiTheme="minorHAnsi" w:cstheme="minorBidi"/>
              <w:noProof/>
              <w:sz w:val="22"/>
              <w:lang w:eastAsia="cs-CZ"/>
            </w:rPr>
          </w:pPr>
          <w:hyperlink w:anchor="_Toc368040307" w:history="1">
            <w:r w:rsidRPr="00094162">
              <w:rPr>
                <w:rStyle w:val="Hypertextovodkaz"/>
                <w:noProof/>
              </w:rPr>
              <w:t>7.3.4</w:t>
            </w:r>
            <w:r>
              <w:rPr>
                <w:rFonts w:asciiTheme="minorHAnsi" w:eastAsiaTheme="minorEastAsia" w:hAnsiTheme="minorHAnsi" w:cstheme="minorBidi"/>
                <w:noProof/>
                <w:sz w:val="22"/>
                <w:lang w:eastAsia="cs-CZ"/>
              </w:rPr>
              <w:tab/>
            </w:r>
            <w:r w:rsidRPr="00094162">
              <w:rPr>
                <w:rStyle w:val="Hypertextovodkaz"/>
                <w:noProof/>
              </w:rPr>
              <w:t>Nedostatek seed a pre-seed financování pro rozvoj nových podniků v internetové ekonomice</w:t>
            </w:r>
            <w:r>
              <w:rPr>
                <w:noProof/>
                <w:webHidden/>
              </w:rPr>
              <w:tab/>
            </w:r>
            <w:r>
              <w:rPr>
                <w:noProof/>
                <w:webHidden/>
              </w:rPr>
              <w:fldChar w:fldCharType="begin"/>
            </w:r>
            <w:r>
              <w:rPr>
                <w:noProof/>
                <w:webHidden/>
              </w:rPr>
              <w:instrText xml:space="preserve"> PAGEREF _Toc368040307 \h </w:instrText>
            </w:r>
            <w:r>
              <w:rPr>
                <w:noProof/>
                <w:webHidden/>
              </w:rPr>
            </w:r>
            <w:r>
              <w:rPr>
                <w:noProof/>
                <w:webHidden/>
              </w:rPr>
              <w:fldChar w:fldCharType="separate"/>
            </w:r>
            <w:r>
              <w:rPr>
                <w:noProof/>
                <w:webHidden/>
              </w:rPr>
              <w:t>55</w:t>
            </w:r>
            <w:r>
              <w:rPr>
                <w:noProof/>
                <w:webHidden/>
              </w:rPr>
              <w:fldChar w:fldCharType="end"/>
            </w:r>
          </w:hyperlink>
        </w:p>
        <w:p w:rsidR="00671442" w:rsidRDefault="00671442">
          <w:pPr>
            <w:pStyle w:val="Obsah3"/>
            <w:tabs>
              <w:tab w:val="left" w:pos="1320"/>
              <w:tab w:val="right" w:leader="dot" w:pos="9060"/>
            </w:tabs>
            <w:rPr>
              <w:rFonts w:asciiTheme="minorHAnsi" w:eastAsiaTheme="minorEastAsia" w:hAnsiTheme="minorHAnsi" w:cstheme="minorBidi"/>
              <w:noProof/>
              <w:sz w:val="22"/>
              <w:lang w:eastAsia="cs-CZ"/>
            </w:rPr>
          </w:pPr>
          <w:hyperlink w:anchor="_Toc368040308" w:history="1">
            <w:r w:rsidRPr="00094162">
              <w:rPr>
                <w:rStyle w:val="Hypertextovodkaz"/>
                <w:noProof/>
              </w:rPr>
              <w:t>7.3.5</w:t>
            </w:r>
            <w:r>
              <w:rPr>
                <w:rFonts w:asciiTheme="minorHAnsi" w:eastAsiaTheme="minorEastAsia" w:hAnsiTheme="minorHAnsi" w:cstheme="minorBidi"/>
                <w:noProof/>
                <w:sz w:val="22"/>
                <w:lang w:eastAsia="cs-CZ"/>
              </w:rPr>
              <w:tab/>
            </w:r>
            <w:r w:rsidRPr="00094162">
              <w:rPr>
                <w:rStyle w:val="Hypertextovodkaz"/>
                <w:noProof/>
              </w:rPr>
              <w:t>Malé porozumění finančních institucí potřebám podniků v oblasti internetové ekonomiky</w:t>
            </w:r>
            <w:r>
              <w:rPr>
                <w:noProof/>
                <w:webHidden/>
              </w:rPr>
              <w:tab/>
            </w:r>
            <w:r>
              <w:rPr>
                <w:noProof/>
                <w:webHidden/>
              </w:rPr>
              <w:fldChar w:fldCharType="begin"/>
            </w:r>
            <w:r>
              <w:rPr>
                <w:noProof/>
                <w:webHidden/>
              </w:rPr>
              <w:instrText xml:space="preserve"> PAGEREF _Toc368040308 \h </w:instrText>
            </w:r>
            <w:r>
              <w:rPr>
                <w:noProof/>
                <w:webHidden/>
              </w:rPr>
            </w:r>
            <w:r>
              <w:rPr>
                <w:noProof/>
                <w:webHidden/>
              </w:rPr>
              <w:fldChar w:fldCharType="separate"/>
            </w:r>
            <w:r>
              <w:rPr>
                <w:noProof/>
                <w:webHidden/>
              </w:rPr>
              <w:t>56</w:t>
            </w:r>
            <w:r>
              <w:rPr>
                <w:noProof/>
                <w:webHidden/>
              </w:rPr>
              <w:fldChar w:fldCharType="end"/>
            </w:r>
          </w:hyperlink>
        </w:p>
        <w:p w:rsidR="00671442" w:rsidRDefault="00671442">
          <w:pPr>
            <w:pStyle w:val="Obsah3"/>
            <w:tabs>
              <w:tab w:val="left" w:pos="1320"/>
              <w:tab w:val="right" w:leader="dot" w:pos="9060"/>
            </w:tabs>
            <w:rPr>
              <w:rFonts w:asciiTheme="minorHAnsi" w:eastAsiaTheme="minorEastAsia" w:hAnsiTheme="minorHAnsi" w:cstheme="minorBidi"/>
              <w:noProof/>
              <w:sz w:val="22"/>
              <w:lang w:eastAsia="cs-CZ"/>
            </w:rPr>
          </w:pPr>
          <w:hyperlink w:anchor="_Toc368040309" w:history="1">
            <w:r w:rsidRPr="00094162">
              <w:rPr>
                <w:rStyle w:val="Hypertextovodkaz"/>
                <w:noProof/>
              </w:rPr>
              <w:t>7.3.6</w:t>
            </w:r>
            <w:r>
              <w:rPr>
                <w:rFonts w:asciiTheme="minorHAnsi" w:eastAsiaTheme="minorEastAsia" w:hAnsiTheme="minorHAnsi" w:cstheme="minorBidi"/>
                <w:noProof/>
                <w:sz w:val="22"/>
                <w:lang w:eastAsia="cs-CZ"/>
              </w:rPr>
              <w:tab/>
            </w:r>
            <w:r w:rsidRPr="00094162">
              <w:rPr>
                <w:rStyle w:val="Hypertextovodkaz"/>
                <w:noProof/>
              </w:rPr>
              <w:t>Infrastruktura</w:t>
            </w:r>
            <w:r>
              <w:rPr>
                <w:noProof/>
                <w:webHidden/>
              </w:rPr>
              <w:tab/>
            </w:r>
            <w:r>
              <w:rPr>
                <w:noProof/>
                <w:webHidden/>
              </w:rPr>
              <w:fldChar w:fldCharType="begin"/>
            </w:r>
            <w:r>
              <w:rPr>
                <w:noProof/>
                <w:webHidden/>
              </w:rPr>
              <w:instrText xml:space="preserve"> PAGEREF _Toc368040309 \h </w:instrText>
            </w:r>
            <w:r>
              <w:rPr>
                <w:noProof/>
                <w:webHidden/>
              </w:rPr>
            </w:r>
            <w:r>
              <w:rPr>
                <w:noProof/>
                <w:webHidden/>
              </w:rPr>
              <w:fldChar w:fldCharType="separate"/>
            </w:r>
            <w:r>
              <w:rPr>
                <w:noProof/>
                <w:webHidden/>
              </w:rPr>
              <w:t>57</w:t>
            </w:r>
            <w:r>
              <w:rPr>
                <w:noProof/>
                <w:webHidden/>
              </w:rPr>
              <w:fldChar w:fldCharType="end"/>
            </w:r>
          </w:hyperlink>
        </w:p>
        <w:p w:rsidR="00671442" w:rsidRDefault="00671442">
          <w:pPr>
            <w:pStyle w:val="Obsah3"/>
            <w:tabs>
              <w:tab w:val="left" w:pos="1320"/>
              <w:tab w:val="right" w:leader="dot" w:pos="9060"/>
            </w:tabs>
            <w:rPr>
              <w:rFonts w:asciiTheme="minorHAnsi" w:eastAsiaTheme="minorEastAsia" w:hAnsiTheme="minorHAnsi" w:cstheme="minorBidi"/>
              <w:noProof/>
              <w:sz w:val="22"/>
              <w:lang w:eastAsia="cs-CZ"/>
            </w:rPr>
          </w:pPr>
          <w:hyperlink w:anchor="_Toc368040310" w:history="1">
            <w:r w:rsidRPr="00094162">
              <w:rPr>
                <w:rStyle w:val="Hypertextovodkaz"/>
                <w:noProof/>
              </w:rPr>
              <w:t>7.3.7</w:t>
            </w:r>
            <w:r>
              <w:rPr>
                <w:rFonts w:asciiTheme="minorHAnsi" w:eastAsiaTheme="minorEastAsia" w:hAnsiTheme="minorHAnsi" w:cstheme="minorBidi"/>
                <w:noProof/>
                <w:sz w:val="22"/>
                <w:lang w:eastAsia="cs-CZ"/>
              </w:rPr>
              <w:tab/>
            </w:r>
            <w:r w:rsidRPr="00094162">
              <w:rPr>
                <w:rStyle w:val="Hypertextovodkaz"/>
                <w:noProof/>
              </w:rPr>
              <w:t>Daně a poplatky a vymahatelnost práva</w:t>
            </w:r>
            <w:r>
              <w:rPr>
                <w:noProof/>
                <w:webHidden/>
              </w:rPr>
              <w:tab/>
            </w:r>
            <w:r>
              <w:rPr>
                <w:noProof/>
                <w:webHidden/>
              </w:rPr>
              <w:fldChar w:fldCharType="begin"/>
            </w:r>
            <w:r>
              <w:rPr>
                <w:noProof/>
                <w:webHidden/>
              </w:rPr>
              <w:instrText xml:space="preserve"> PAGEREF _Toc368040310 \h </w:instrText>
            </w:r>
            <w:r>
              <w:rPr>
                <w:noProof/>
                <w:webHidden/>
              </w:rPr>
            </w:r>
            <w:r>
              <w:rPr>
                <w:noProof/>
                <w:webHidden/>
              </w:rPr>
              <w:fldChar w:fldCharType="separate"/>
            </w:r>
            <w:r>
              <w:rPr>
                <w:noProof/>
                <w:webHidden/>
              </w:rPr>
              <w:t>57</w:t>
            </w:r>
            <w:r>
              <w:rPr>
                <w:noProof/>
                <w:webHidden/>
              </w:rPr>
              <w:fldChar w:fldCharType="end"/>
            </w:r>
          </w:hyperlink>
        </w:p>
        <w:p w:rsidR="00671442" w:rsidRDefault="00671442">
          <w:pPr>
            <w:pStyle w:val="Obsah3"/>
            <w:tabs>
              <w:tab w:val="left" w:pos="1320"/>
              <w:tab w:val="right" w:leader="dot" w:pos="9060"/>
            </w:tabs>
            <w:rPr>
              <w:rFonts w:asciiTheme="minorHAnsi" w:eastAsiaTheme="minorEastAsia" w:hAnsiTheme="minorHAnsi" w:cstheme="minorBidi"/>
              <w:noProof/>
              <w:sz w:val="22"/>
              <w:lang w:eastAsia="cs-CZ"/>
            </w:rPr>
          </w:pPr>
          <w:hyperlink w:anchor="_Toc368040311" w:history="1">
            <w:r w:rsidRPr="00094162">
              <w:rPr>
                <w:rStyle w:val="Hypertextovodkaz"/>
                <w:noProof/>
              </w:rPr>
              <w:t>7.3.8</w:t>
            </w:r>
            <w:r>
              <w:rPr>
                <w:rFonts w:asciiTheme="minorHAnsi" w:eastAsiaTheme="minorEastAsia" w:hAnsiTheme="minorHAnsi" w:cstheme="minorBidi"/>
                <w:noProof/>
                <w:sz w:val="22"/>
                <w:lang w:eastAsia="cs-CZ"/>
              </w:rPr>
              <w:tab/>
            </w:r>
            <w:r w:rsidRPr="00094162">
              <w:rPr>
                <w:rStyle w:val="Hypertextovodkaz"/>
                <w:noProof/>
              </w:rPr>
              <w:t>Digitální gramotnost a základní uživatelské dovednosti</w:t>
            </w:r>
            <w:r>
              <w:rPr>
                <w:noProof/>
                <w:webHidden/>
              </w:rPr>
              <w:tab/>
            </w:r>
            <w:r>
              <w:rPr>
                <w:noProof/>
                <w:webHidden/>
              </w:rPr>
              <w:fldChar w:fldCharType="begin"/>
            </w:r>
            <w:r>
              <w:rPr>
                <w:noProof/>
                <w:webHidden/>
              </w:rPr>
              <w:instrText xml:space="preserve"> PAGEREF _Toc368040311 \h </w:instrText>
            </w:r>
            <w:r>
              <w:rPr>
                <w:noProof/>
                <w:webHidden/>
              </w:rPr>
            </w:r>
            <w:r>
              <w:rPr>
                <w:noProof/>
                <w:webHidden/>
              </w:rPr>
              <w:fldChar w:fldCharType="separate"/>
            </w:r>
            <w:r>
              <w:rPr>
                <w:noProof/>
                <w:webHidden/>
              </w:rPr>
              <w:t>58</w:t>
            </w:r>
            <w:r>
              <w:rPr>
                <w:noProof/>
                <w:webHidden/>
              </w:rPr>
              <w:fldChar w:fldCharType="end"/>
            </w:r>
          </w:hyperlink>
        </w:p>
        <w:p w:rsidR="00671442" w:rsidRDefault="00671442">
          <w:pPr>
            <w:pStyle w:val="Obsah3"/>
            <w:tabs>
              <w:tab w:val="left" w:pos="1320"/>
              <w:tab w:val="right" w:leader="dot" w:pos="9060"/>
            </w:tabs>
            <w:rPr>
              <w:rFonts w:asciiTheme="minorHAnsi" w:eastAsiaTheme="minorEastAsia" w:hAnsiTheme="minorHAnsi" w:cstheme="minorBidi"/>
              <w:noProof/>
              <w:sz w:val="22"/>
              <w:lang w:eastAsia="cs-CZ"/>
            </w:rPr>
          </w:pPr>
          <w:hyperlink w:anchor="_Toc368040312" w:history="1">
            <w:r w:rsidRPr="00094162">
              <w:rPr>
                <w:rStyle w:val="Hypertextovodkaz"/>
                <w:noProof/>
              </w:rPr>
              <w:t>7.3.9</w:t>
            </w:r>
            <w:r>
              <w:rPr>
                <w:rFonts w:asciiTheme="minorHAnsi" w:eastAsiaTheme="minorEastAsia" w:hAnsiTheme="minorHAnsi" w:cstheme="minorBidi"/>
                <w:noProof/>
                <w:sz w:val="22"/>
                <w:lang w:eastAsia="cs-CZ"/>
              </w:rPr>
              <w:tab/>
            </w:r>
            <w:r w:rsidRPr="00094162">
              <w:rPr>
                <w:rStyle w:val="Hypertextovodkaz"/>
                <w:noProof/>
              </w:rPr>
              <w:t>ICT Specialisté, kvalifikovaní uživatelé a lídři</w:t>
            </w:r>
            <w:r>
              <w:rPr>
                <w:noProof/>
                <w:webHidden/>
              </w:rPr>
              <w:tab/>
            </w:r>
            <w:r>
              <w:rPr>
                <w:noProof/>
                <w:webHidden/>
              </w:rPr>
              <w:fldChar w:fldCharType="begin"/>
            </w:r>
            <w:r>
              <w:rPr>
                <w:noProof/>
                <w:webHidden/>
              </w:rPr>
              <w:instrText xml:space="preserve"> PAGEREF _Toc368040312 \h </w:instrText>
            </w:r>
            <w:r>
              <w:rPr>
                <w:noProof/>
                <w:webHidden/>
              </w:rPr>
            </w:r>
            <w:r>
              <w:rPr>
                <w:noProof/>
                <w:webHidden/>
              </w:rPr>
              <w:fldChar w:fldCharType="separate"/>
            </w:r>
            <w:r>
              <w:rPr>
                <w:noProof/>
                <w:webHidden/>
              </w:rPr>
              <w:t>67</w:t>
            </w:r>
            <w:r>
              <w:rPr>
                <w:noProof/>
                <w:webHidden/>
              </w:rPr>
              <w:fldChar w:fldCharType="end"/>
            </w:r>
          </w:hyperlink>
        </w:p>
        <w:p w:rsidR="00671442" w:rsidRDefault="00671442">
          <w:pPr>
            <w:pStyle w:val="Obsah3"/>
            <w:tabs>
              <w:tab w:val="left" w:pos="1320"/>
              <w:tab w:val="right" w:leader="dot" w:pos="9060"/>
            </w:tabs>
            <w:rPr>
              <w:rFonts w:asciiTheme="minorHAnsi" w:eastAsiaTheme="minorEastAsia" w:hAnsiTheme="minorHAnsi" w:cstheme="minorBidi"/>
              <w:noProof/>
              <w:sz w:val="22"/>
              <w:lang w:eastAsia="cs-CZ"/>
            </w:rPr>
          </w:pPr>
          <w:hyperlink w:anchor="_Toc368040313" w:history="1">
            <w:r w:rsidRPr="00094162">
              <w:rPr>
                <w:rStyle w:val="Hypertextovodkaz"/>
                <w:noProof/>
              </w:rPr>
              <w:t>7.3.10</w:t>
            </w:r>
            <w:r>
              <w:rPr>
                <w:rFonts w:asciiTheme="minorHAnsi" w:eastAsiaTheme="minorEastAsia" w:hAnsiTheme="minorHAnsi" w:cstheme="minorBidi"/>
                <w:noProof/>
                <w:sz w:val="22"/>
                <w:lang w:eastAsia="cs-CZ"/>
              </w:rPr>
              <w:tab/>
            </w:r>
            <w:r w:rsidRPr="00094162">
              <w:rPr>
                <w:rStyle w:val="Hypertextovodkaz"/>
                <w:noProof/>
              </w:rPr>
              <w:t>Kyberbezpečnost</w:t>
            </w:r>
            <w:r>
              <w:rPr>
                <w:noProof/>
                <w:webHidden/>
              </w:rPr>
              <w:tab/>
            </w:r>
            <w:r>
              <w:rPr>
                <w:noProof/>
                <w:webHidden/>
              </w:rPr>
              <w:fldChar w:fldCharType="begin"/>
            </w:r>
            <w:r>
              <w:rPr>
                <w:noProof/>
                <w:webHidden/>
              </w:rPr>
              <w:instrText xml:space="preserve"> PAGEREF _Toc368040313 \h </w:instrText>
            </w:r>
            <w:r>
              <w:rPr>
                <w:noProof/>
                <w:webHidden/>
              </w:rPr>
            </w:r>
            <w:r>
              <w:rPr>
                <w:noProof/>
                <w:webHidden/>
              </w:rPr>
              <w:fldChar w:fldCharType="separate"/>
            </w:r>
            <w:r>
              <w:rPr>
                <w:noProof/>
                <w:webHidden/>
              </w:rPr>
              <w:t>70</w:t>
            </w:r>
            <w:r>
              <w:rPr>
                <w:noProof/>
                <w:webHidden/>
              </w:rPr>
              <w:fldChar w:fldCharType="end"/>
            </w:r>
          </w:hyperlink>
        </w:p>
        <w:p w:rsidR="00671442" w:rsidRDefault="00671442">
          <w:pPr>
            <w:pStyle w:val="Obsah1"/>
            <w:tabs>
              <w:tab w:val="left" w:pos="480"/>
              <w:tab w:val="right" w:leader="dot" w:pos="9060"/>
            </w:tabs>
            <w:rPr>
              <w:rFonts w:asciiTheme="minorHAnsi" w:eastAsiaTheme="minorEastAsia" w:hAnsiTheme="minorHAnsi" w:cstheme="minorBidi"/>
              <w:noProof/>
              <w:sz w:val="22"/>
              <w:lang w:eastAsia="cs-CZ"/>
            </w:rPr>
          </w:pPr>
          <w:hyperlink w:anchor="_Toc368040314" w:history="1">
            <w:r w:rsidRPr="00094162">
              <w:rPr>
                <w:rStyle w:val="Hypertextovodkaz"/>
                <w:noProof/>
              </w:rPr>
              <w:t>8</w:t>
            </w:r>
            <w:r>
              <w:rPr>
                <w:rFonts w:asciiTheme="minorHAnsi" w:eastAsiaTheme="minorEastAsia" w:hAnsiTheme="minorHAnsi" w:cstheme="minorBidi"/>
                <w:noProof/>
                <w:sz w:val="22"/>
                <w:lang w:eastAsia="cs-CZ"/>
              </w:rPr>
              <w:tab/>
            </w:r>
            <w:r w:rsidRPr="00094162">
              <w:rPr>
                <w:rStyle w:val="Hypertextovodkaz"/>
                <w:noProof/>
              </w:rPr>
              <w:t>Příloha: Datová část mezinárodního srovnání a souhrnu trendů v české internetové ekonomice</w:t>
            </w:r>
            <w:r>
              <w:rPr>
                <w:noProof/>
                <w:webHidden/>
              </w:rPr>
              <w:tab/>
            </w:r>
            <w:r>
              <w:rPr>
                <w:noProof/>
                <w:webHidden/>
              </w:rPr>
              <w:fldChar w:fldCharType="begin"/>
            </w:r>
            <w:r>
              <w:rPr>
                <w:noProof/>
                <w:webHidden/>
              </w:rPr>
              <w:instrText xml:space="preserve"> PAGEREF _Toc368040314 \h </w:instrText>
            </w:r>
            <w:r>
              <w:rPr>
                <w:noProof/>
                <w:webHidden/>
              </w:rPr>
            </w:r>
            <w:r>
              <w:rPr>
                <w:noProof/>
                <w:webHidden/>
              </w:rPr>
              <w:fldChar w:fldCharType="separate"/>
            </w:r>
            <w:r>
              <w:rPr>
                <w:noProof/>
                <w:webHidden/>
              </w:rPr>
              <w:t>71</w:t>
            </w:r>
            <w:r>
              <w:rPr>
                <w:noProof/>
                <w:webHidden/>
              </w:rPr>
              <w:fldChar w:fldCharType="end"/>
            </w:r>
          </w:hyperlink>
        </w:p>
        <w:p w:rsidR="00671442" w:rsidRDefault="00671442">
          <w:pPr>
            <w:pStyle w:val="Obsah2"/>
            <w:tabs>
              <w:tab w:val="left" w:pos="880"/>
              <w:tab w:val="right" w:leader="dot" w:pos="9060"/>
            </w:tabs>
            <w:rPr>
              <w:rFonts w:asciiTheme="minorHAnsi" w:eastAsiaTheme="minorEastAsia" w:hAnsiTheme="minorHAnsi" w:cstheme="minorBidi"/>
              <w:noProof/>
              <w:sz w:val="22"/>
              <w:lang w:eastAsia="cs-CZ"/>
            </w:rPr>
          </w:pPr>
          <w:hyperlink w:anchor="_Toc368040315" w:history="1">
            <w:r w:rsidRPr="00094162">
              <w:rPr>
                <w:rStyle w:val="Hypertextovodkaz"/>
                <w:noProof/>
              </w:rPr>
              <w:t>8.1</w:t>
            </w:r>
            <w:r>
              <w:rPr>
                <w:rFonts w:asciiTheme="minorHAnsi" w:eastAsiaTheme="minorEastAsia" w:hAnsiTheme="minorHAnsi" w:cstheme="minorBidi"/>
                <w:noProof/>
                <w:sz w:val="22"/>
                <w:lang w:eastAsia="cs-CZ"/>
              </w:rPr>
              <w:tab/>
            </w:r>
            <w:r w:rsidRPr="00094162">
              <w:rPr>
                <w:rStyle w:val="Hypertextovodkaz"/>
                <w:noProof/>
              </w:rPr>
              <w:t>Podniky</w:t>
            </w:r>
            <w:r>
              <w:rPr>
                <w:noProof/>
                <w:webHidden/>
              </w:rPr>
              <w:tab/>
            </w:r>
            <w:r>
              <w:rPr>
                <w:noProof/>
                <w:webHidden/>
              </w:rPr>
              <w:fldChar w:fldCharType="begin"/>
            </w:r>
            <w:r>
              <w:rPr>
                <w:noProof/>
                <w:webHidden/>
              </w:rPr>
              <w:instrText xml:space="preserve"> PAGEREF _Toc368040315 \h </w:instrText>
            </w:r>
            <w:r>
              <w:rPr>
                <w:noProof/>
                <w:webHidden/>
              </w:rPr>
            </w:r>
            <w:r>
              <w:rPr>
                <w:noProof/>
                <w:webHidden/>
              </w:rPr>
              <w:fldChar w:fldCharType="separate"/>
            </w:r>
            <w:r>
              <w:rPr>
                <w:noProof/>
                <w:webHidden/>
              </w:rPr>
              <w:t>71</w:t>
            </w:r>
            <w:r>
              <w:rPr>
                <w:noProof/>
                <w:webHidden/>
              </w:rPr>
              <w:fldChar w:fldCharType="end"/>
            </w:r>
          </w:hyperlink>
        </w:p>
        <w:p w:rsidR="00671442" w:rsidRDefault="00671442">
          <w:pPr>
            <w:pStyle w:val="Obsah2"/>
            <w:tabs>
              <w:tab w:val="left" w:pos="880"/>
              <w:tab w:val="right" w:leader="dot" w:pos="9060"/>
            </w:tabs>
            <w:rPr>
              <w:rFonts w:asciiTheme="minorHAnsi" w:eastAsiaTheme="minorEastAsia" w:hAnsiTheme="minorHAnsi" w:cstheme="minorBidi"/>
              <w:noProof/>
              <w:sz w:val="22"/>
              <w:lang w:eastAsia="cs-CZ"/>
            </w:rPr>
          </w:pPr>
          <w:hyperlink w:anchor="_Toc368040316" w:history="1">
            <w:r w:rsidRPr="00094162">
              <w:rPr>
                <w:rStyle w:val="Hypertextovodkaz"/>
                <w:noProof/>
              </w:rPr>
              <w:t>8.2</w:t>
            </w:r>
            <w:r>
              <w:rPr>
                <w:rFonts w:asciiTheme="minorHAnsi" w:eastAsiaTheme="minorEastAsia" w:hAnsiTheme="minorHAnsi" w:cstheme="minorBidi"/>
                <w:noProof/>
                <w:sz w:val="22"/>
                <w:lang w:eastAsia="cs-CZ"/>
              </w:rPr>
              <w:tab/>
            </w:r>
            <w:r w:rsidRPr="00094162">
              <w:rPr>
                <w:rStyle w:val="Hypertextovodkaz"/>
                <w:noProof/>
              </w:rPr>
              <w:t>Zaměstnanci</w:t>
            </w:r>
            <w:r>
              <w:rPr>
                <w:noProof/>
                <w:webHidden/>
              </w:rPr>
              <w:tab/>
            </w:r>
            <w:r>
              <w:rPr>
                <w:noProof/>
                <w:webHidden/>
              </w:rPr>
              <w:fldChar w:fldCharType="begin"/>
            </w:r>
            <w:r>
              <w:rPr>
                <w:noProof/>
                <w:webHidden/>
              </w:rPr>
              <w:instrText xml:space="preserve"> PAGEREF _Toc368040316 \h </w:instrText>
            </w:r>
            <w:r>
              <w:rPr>
                <w:noProof/>
                <w:webHidden/>
              </w:rPr>
            </w:r>
            <w:r>
              <w:rPr>
                <w:noProof/>
                <w:webHidden/>
              </w:rPr>
              <w:fldChar w:fldCharType="separate"/>
            </w:r>
            <w:r>
              <w:rPr>
                <w:noProof/>
                <w:webHidden/>
              </w:rPr>
              <w:t>83</w:t>
            </w:r>
            <w:r>
              <w:rPr>
                <w:noProof/>
                <w:webHidden/>
              </w:rPr>
              <w:fldChar w:fldCharType="end"/>
            </w:r>
          </w:hyperlink>
        </w:p>
        <w:p w:rsidR="00671442" w:rsidRDefault="00671442">
          <w:pPr>
            <w:pStyle w:val="Obsah2"/>
            <w:tabs>
              <w:tab w:val="left" w:pos="880"/>
              <w:tab w:val="right" w:leader="dot" w:pos="9060"/>
            </w:tabs>
            <w:rPr>
              <w:rFonts w:asciiTheme="minorHAnsi" w:eastAsiaTheme="minorEastAsia" w:hAnsiTheme="minorHAnsi" w:cstheme="minorBidi"/>
              <w:noProof/>
              <w:sz w:val="22"/>
              <w:lang w:eastAsia="cs-CZ"/>
            </w:rPr>
          </w:pPr>
          <w:hyperlink w:anchor="_Toc368040317" w:history="1">
            <w:r w:rsidRPr="00094162">
              <w:rPr>
                <w:rStyle w:val="Hypertextovodkaz"/>
                <w:noProof/>
              </w:rPr>
              <w:t>8.3</w:t>
            </w:r>
            <w:r>
              <w:rPr>
                <w:rFonts w:asciiTheme="minorHAnsi" w:eastAsiaTheme="minorEastAsia" w:hAnsiTheme="minorHAnsi" w:cstheme="minorBidi"/>
                <w:noProof/>
                <w:sz w:val="22"/>
                <w:lang w:eastAsia="cs-CZ"/>
              </w:rPr>
              <w:tab/>
            </w:r>
            <w:r w:rsidRPr="00094162">
              <w:rPr>
                <w:rStyle w:val="Hypertextovodkaz"/>
                <w:noProof/>
              </w:rPr>
              <w:t>Jednotlivci, domácnosti</w:t>
            </w:r>
            <w:r>
              <w:rPr>
                <w:noProof/>
                <w:webHidden/>
              </w:rPr>
              <w:tab/>
            </w:r>
            <w:r>
              <w:rPr>
                <w:noProof/>
                <w:webHidden/>
              </w:rPr>
              <w:fldChar w:fldCharType="begin"/>
            </w:r>
            <w:r>
              <w:rPr>
                <w:noProof/>
                <w:webHidden/>
              </w:rPr>
              <w:instrText xml:space="preserve"> PAGEREF _Toc368040317 \h </w:instrText>
            </w:r>
            <w:r>
              <w:rPr>
                <w:noProof/>
                <w:webHidden/>
              </w:rPr>
            </w:r>
            <w:r>
              <w:rPr>
                <w:noProof/>
                <w:webHidden/>
              </w:rPr>
              <w:fldChar w:fldCharType="separate"/>
            </w:r>
            <w:r>
              <w:rPr>
                <w:noProof/>
                <w:webHidden/>
              </w:rPr>
              <w:t>88</w:t>
            </w:r>
            <w:r>
              <w:rPr>
                <w:noProof/>
                <w:webHidden/>
              </w:rPr>
              <w:fldChar w:fldCharType="end"/>
            </w:r>
          </w:hyperlink>
        </w:p>
        <w:p w:rsidR="00671442" w:rsidRDefault="00671442">
          <w:pPr>
            <w:pStyle w:val="Obsah1"/>
            <w:tabs>
              <w:tab w:val="left" w:pos="480"/>
              <w:tab w:val="right" w:leader="dot" w:pos="9060"/>
            </w:tabs>
            <w:rPr>
              <w:rFonts w:asciiTheme="minorHAnsi" w:eastAsiaTheme="minorEastAsia" w:hAnsiTheme="minorHAnsi" w:cstheme="minorBidi"/>
              <w:noProof/>
              <w:sz w:val="22"/>
              <w:lang w:eastAsia="cs-CZ"/>
            </w:rPr>
          </w:pPr>
          <w:hyperlink w:anchor="_Toc368040318" w:history="1">
            <w:r w:rsidRPr="00094162">
              <w:rPr>
                <w:rStyle w:val="Hypertextovodkaz"/>
                <w:noProof/>
              </w:rPr>
              <w:t>9</w:t>
            </w:r>
            <w:r>
              <w:rPr>
                <w:rFonts w:asciiTheme="minorHAnsi" w:eastAsiaTheme="minorEastAsia" w:hAnsiTheme="minorHAnsi" w:cstheme="minorBidi"/>
                <w:noProof/>
                <w:sz w:val="22"/>
                <w:lang w:eastAsia="cs-CZ"/>
              </w:rPr>
              <w:tab/>
            </w:r>
            <w:r w:rsidRPr="00094162">
              <w:rPr>
                <w:rStyle w:val="Hypertextovodkaz"/>
                <w:noProof/>
              </w:rPr>
              <w:t>Literatura</w:t>
            </w:r>
            <w:r>
              <w:rPr>
                <w:noProof/>
                <w:webHidden/>
              </w:rPr>
              <w:tab/>
            </w:r>
            <w:r>
              <w:rPr>
                <w:noProof/>
                <w:webHidden/>
              </w:rPr>
              <w:fldChar w:fldCharType="begin"/>
            </w:r>
            <w:r>
              <w:rPr>
                <w:noProof/>
                <w:webHidden/>
              </w:rPr>
              <w:instrText xml:space="preserve"> PAGEREF _Toc368040318 \h </w:instrText>
            </w:r>
            <w:r>
              <w:rPr>
                <w:noProof/>
                <w:webHidden/>
              </w:rPr>
            </w:r>
            <w:r>
              <w:rPr>
                <w:noProof/>
                <w:webHidden/>
              </w:rPr>
              <w:fldChar w:fldCharType="separate"/>
            </w:r>
            <w:r>
              <w:rPr>
                <w:noProof/>
                <w:webHidden/>
              </w:rPr>
              <w:t>100</w:t>
            </w:r>
            <w:r>
              <w:rPr>
                <w:noProof/>
                <w:webHidden/>
              </w:rPr>
              <w:fldChar w:fldCharType="end"/>
            </w:r>
          </w:hyperlink>
        </w:p>
        <w:p w:rsidR="00671442" w:rsidRDefault="00671442">
          <w:pPr>
            <w:pStyle w:val="Obsah1"/>
            <w:tabs>
              <w:tab w:val="left" w:pos="480"/>
              <w:tab w:val="right" w:leader="dot" w:pos="9060"/>
            </w:tabs>
            <w:rPr>
              <w:rFonts w:asciiTheme="minorHAnsi" w:eastAsiaTheme="minorEastAsia" w:hAnsiTheme="minorHAnsi" w:cstheme="minorBidi"/>
              <w:noProof/>
              <w:sz w:val="22"/>
              <w:lang w:eastAsia="cs-CZ"/>
            </w:rPr>
          </w:pPr>
          <w:hyperlink w:anchor="_Toc368040319" w:history="1">
            <w:r w:rsidRPr="00094162">
              <w:rPr>
                <w:rStyle w:val="Hypertextovodkaz"/>
                <w:noProof/>
              </w:rPr>
              <w:t>10</w:t>
            </w:r>
            <w:r>
              <w:rPr>
                <w:rFonts w:asciiTheme="minorHAnsi" w:eastAsiaTheme="minorEastAsia" w:hAnsiTheme="minorHAnsi" w:cstheme="minorBidi"/>
                <w:noProof/>
                <w:sz w:val="22"/>
                <w:lang w:eastAsia="cs-CZ"/>
              </w:rPr>
              <w:tab/>
            </w:r>
            <w:r w:rsidRPr="00094162">
              <w:rPr>
                <w:rStyle w:val="Hypertextovodkaz"/>
                <w:noProof/>
              </w:rPr>
              <w:t>Zdroje dat</w:t>
            </w:r>
            <w:r>
              <w:rPr>
                <w:noProof/>
                <w:webHidden/>
              </w:rPr>
              <w:tab/>
            </w:r>
            <w:r>
              <w:rPr>
                <w:noProof/>
                <w:webHidden/>
              </w:rPr>
              <w:fldChar w:fldCharType="begin"/>
            </w:r>
            <w:r>
              <w:rPr>
                <w:noProof/>
                <w:webHidden/>
              </w:rPr>
              <w:instrText xml:space="preserve"> PAGEREF _Toc368040319 \h </w:instrText>
            </w:r>
            <w:r>
              <w:rPr>
                <w:noProof/>
                <w:webHidden/>
              </w:rPr>
            </w:r>
            <w:r>
              <w:rPr>
                <w:noProof/>
                <w:webHidden/>
              </w:rPr>
              <w:fldChar w:fldCharType="separate"/>
            </w:r>
            <w:r>
              <w:rPr>
                <w:noProof/>
                <w:webHidden/>
              </w:rPr>
              <w:t>101</w:t>
            </w:r>
            <w:r>
              <w:rPr>
                <w:noProof/>
                <w:webHidden/>
              </w:rPr>
              <w:fldChar w:fldCharType="end"/>
            </w:r>
          </w:hyperlink>
        </w:p>
        <w:p w:rsidR="006E360A" w:rsidRDefault="00467841">
          <w:r>
            <w:fldChar w:fldCharType="end"/>
          </w:r>
        </w:p>
      </w:sdtContent>
    </w:sdt>
    <w:p w:rsidR="006E360A" w:rsidRDefault="006E360A" w:rsidP="006E360A"/>
    <w:p w:rsidR="006E360A" w:rsidRDefault="006E360A" w:rsidP="006E360A"/>
    <w:p w:rsidR="006E360A" w:rsidRDefault="006E360A" w:rsidP="006E360A"/>
    <w:p w:rsidR="006E360A" w:rsidRDefault="006E360A" w:rsidP="006E360A"/>
    <w:p w:rsidR="006E360A" w:rsidRDefault="006E360A" w:rsidP="006E360A"/>
    <w:p w:rsidR="006E360A" w:rsidRDefault="006E360A" w:rsidP="006E360A"/>
    <w:p w:rsidR="006E360A" w:rsidRDefault="006E360A" w:rsidP="006E360A"/>
    <w:p w:rsidR="006E360A" w:rsidRDefault="006E360A" w:rsidP="006E360A"/>
    <w:p w:rsidR="006E360A" w:rsidRDefault="006E360A" w:rsidP="006E360A"/>
    <w:p w:rsidR="006E360A" w:rsidRDefault="006E360A" w:rsidP="006E360A"/>
    <w:p w:rsidR="006E360A" w:rsidRDefault="006E360A" w:rsidP="006E360A"/>
    <w:p w:rsidR="006E360A" w:rsidRDefault="006E360A" w:rsidP="006E360A"/>
    <w:p w:rsidR="006E360A" w:rsidRDefault="006E360A" w:rsidP="006E360A"/>
    <w:p w:rsidR="006E360A" w:rsidRDefault="006E360A" w:rsidP="006E360A"/>
    <w:p w:rsidR="006E360A" w:rsidRDefault="006E360A" w:rsidP="006E360A"/>
    <w:p w:rsidR="006E360A" w:rsidRDefault="006E360A" w:rsidP="006E360A"/>
    <w:p w:rsidR="006E360A" w:rsidRDefault="006E360A" w:rsidP="006E360A"/>
    <w:p w:rsidR="006E360A" w:rsidRDefault="006E360A" w:rsidP="006E360A"/>
    <w:p w:rsidR="006E360A" w:rsidRDefault="006E360A" w:rsidP="006E360A"/>
    <w:p w:rsidR="009F7487" w:rsidRDefault="009F7487" w:rsidP="006E360A">
      <w:pPr>
        <w:sectPr w:rsidR="009F7487" w:rsidSect="00CA70F4">
          <w:footerReference w:type="default" r:id="rId9"/>
          <w:pgSz w:w="11906" w:h="16838" w:code="9"/>
          <w:pgMar w:top="1418" w:right="1418" w:bottom="1134" w:left="1418" w:header="709" w:footer="709" w:gutter="0"/>
          <w:cols w:space="708"/>
          <w:titlePg/>
          <w:docGrid w:linePitch="360"/>
        </w:sectPr>
      </w:pPr>
    </w:p>
    <w:p w:rsidR="006E360A" w:rsidRPr="006E360A" w:rsidRDefault="006E360A" w:rsidP="006E360A"/>
    <w:p w:rsidR="006732A5" w:rsidRDefault="006732A5" w:rsidP="006732A5">
      <w:pPr>
        <w:pStyle w:val="Nadpis1"/>
        <w:numPr>
          <w:ilvl w:val="0"/>
          <w:numId w:val="1"/>
        </w:numPr>
      </w:pPr>
      <w:bookmarkStart w:id="0" w:name="_Toc368040275"/>
      <w:r>
        <w:t>Manažerské shrnutí</w:t>
      </w:r>
      <w:bookmarkEnd w:id="0"/>
    </w:p>
    <w:p w:rsidR="000C6800" w:rsidRDefault="000C6800" w:rsidP="00CE52DA">
      <w:pPr>
        <w:spacing w:line="360" w:lineRule="auto"/>
      </w:pPr>
    </w:p>
    <w:p w:rsidR="00CE52DA" w:rsidRDefault="00CE52DA" w:rsidP="00CE52DA">
      <w:pPr>
        <w:spacing w:line="360" w:lineRule="auto"/>
        <w:rPr>
          <w:b/>
        </w:rPr>
      </w:pPr>
      <w:r>
        <w:t xml:space="preserve">Česká internetová ekonomika zaznamenala v posledních letech dynamický vývoj. České podniky jsou ve srovnání s EU na internetu nadprůměrně aktivní. Využívají internet jako nástroj komunikace se spotřebiteli, dalšími podniky, dodavateli, ale i s veřejnou správou. </w:t>
      </w:r>
      <w:r w:rsidRPr="00734B48">
        <w:t>Tato jejich aktivita v čase pru</w:t>
      </w:r>
      <w:r>
        <w:t xml:space="preserve">dce roste. Ve srovnání s EU v České republice výrazně vzrostl poměr firem využívající e-commerce a internetové bankovnictví. </w:t>
      </w:r>
      <w:r w:rsidRPr="00B43830">
        <w:rPr>
          <w:b/>
        </w:rPr>
        <w:t>V České republice vzrostl celkový obrat podniků z e-commerce z 6 % v roce 2004 na 24 % v roce 2012, zatímco v EU za stejné období vzrostl z 9 % na 15 %.</w:t>
      </w:r>
      <w:r>
        <w:rPr>
          <w:b/>
        </w:rPr>
        <w:t xml:space="preserve"> </w:t>
      </w:r>
    </w:p>
    <w:p w:rsidR="006732A5" w:rsidRDefault="00CE52DA" w:rsidP="00CE52DA">
      <w:pPr>
        <w:spacing w:line="360" w:lineRule="auto"/>
        <w:rPr>
          <w:b/>
        </w:rPr>
      </w:pPr>
      <w:r>
        <w:t xml:space="preserve">V mezinárodním srovnání ale české domácností nejsou na internetu tak aktivní jako české podniky. Jednotlivci využívají internet o něco méně než je průměr EU a to platí i pro využívání internetu v zaměstnání. </w:t>
      </w:r>
      <w:r w:rsidRPr="00F56294">
        <w:rPr>
          <w:b/>
        </w:rPr>
        <w:t>V roce 2012 používalo v práci počítač 42 % zaměstnanců a 34 % zaměstnanců mělo přístup k internetu.</w:t>
      </w:r>
      <w:r>
        <w:rPr>
          <w:b/>
        </w:rPr>
        <w:t xml:space="preserve"> </w:t>
      </w:r>
    </w:p>
    <w:p w:rsidR="00CE52DA" w:rsidRDefault="00CE52DA" w:rsidP="00CE52DA">
      <w:pPr>
        <w:spacing w:line="360" w:lineRule="auto"/>
      </w:pPr>
      <w:r>
        <w:t xml:space="preserve">Internet postupem času prostupuje do všech segmentů ekonomiky a stává se nepostradatelným nástrojem k podnikání mnoha firem napříč odvětvími. Proto nelze nahlížet na přínos internetu pro českou ekonomiku pouze jako na přidanou hodnotu odvětví. Jádro internetové ekonomiky tvoří jen část skutečného dopadu internetu na hrubý domácí produkt ČR. Větším dílem internet ovlivňuje ekonomiku skrze zvýšenou produktivitu práce v ostatních odvětvích. On-line reklama a e-commerce umožňují levnější a efektivní inzerci, respektive levnější distribuci produktů, čímž šetří náklady firmám a umožňuje nižší ceny zákazníkům, což nakonec vede k větším objemům prodeje. Další přínos internetu pramení v optimalizaci vnitřních procesů organizace a zjednodušeném přístupu k informacím, což má ve výsledku opět pozitivní dopad na náklady organizace a produktivitu zaměstnanců. Takto získaná přidaná hodnota je však statisticky započítána v jiných odvětvích. </w:t>
      </w:r>
    </w:p>
    <w:p w:rsidR="00CE52DA" w:rsidRDefault="00CE52DA" w:rsidP="00CE52DA">
      <w:pPr>
        <w:spacing w:line="360" w:lineRule="auto"/>
      </w:pPr>
      <w:r>
        <w:t>Jádro internetové ekonomiky s rozvojem cloud computingu a mobilních aplikací nahrazujících tradiční komunikační technologie pomal</w:t>
      </w:r>
      <w:r w:rsidR="000C6800">
        <w:t>u srůstá s celým ICT sektorem,</w:t>
      </w:r>
      <w:r>
        <w:t xml:space="preserve"> protože většina zboží a služeb, které nejsou bezprostředně spojeny s internetem, jsou komplementy internetu, tudíž bez existence internetu by byla poptávka po nich významně omezena.</w:t>
      </w:r>
    </w:p>
    <w:p w:rsidR="00CE52DA" w:rsidRPr="008A6948" w:rsidRDefault="00CE52DA" w:rsidP="00CE52DA">
      <w:pPr>
        <w:spacing w:line="360" w:lineRule="auto"/>
      </w:pPr>
      <w:r w:rsidRPr="00E645D0">
        <w:rPr>
          <w:b/>
        </w:rPr>
        <w:t xml:space="preserve">Velikost přidané hodnoty </w:t>
      </w:r>
      <w:r>
        <w:rPr>
          <w:b/>
        </w:rPr>
        <w:t xml:space="preserve">ICT sektoru </w:t>
      </w:r>
      <w:r w:rsidRPr="00E645D0">
        <w:rPr>
          <w:b/>
        </w:rPr>
        <w:t>byla v roce 2011 160,5 mld. Kč, což p</w:t>
      </w:r>
      <w:r>
        <w:rPr>
          <w:b/>
        </w:rPr>
        <w:t>ředstavovalo přibližně 4,2 % hrubého domácího produktu a 4,66 % hrubé přidané hodnoty</w:t>
      </w:r>
      <w:r w:rsidRPr="00E645D0">
        <w:rPr>
          <w:b/>
        </w:rPr>
        <w:t xml:space="preserve"> České republiky.</w:t>
      </w:r>
      <w:r>
        <w:rPr>
          <w:b/>
        </w:rPr>
        <w:t xml:space="preserve"> </w:t>
      </w:r>
      <w:r w:rsidRPr="0072238D">
        <w:rPr>
          <w:b/>
        </w:rPr>
        <w:t xml:space="preserve">Jádro internetové ekonomiky přitom tvořilo dle </w:t>
      </w:r>
      <w:r>
        <w:rPr>
          <w:b/>
        </w:rPr>
        <w:t xml:space="preserve">našeho odhadu 2,73 – 3,15 % </w:t>
      </w:r>
      <w:r>
        <w:rPr>
          <w:b/>
        </w:rPr>
        <w:lastRenderedPageBreak/>
        <w:t xml:space="preserve">HDP, což je více než řada tradičních odvětví - </w:t>
      </w:r>
      <w:r w:rsidRPr="0072238D">
        <w:rPr>
          <w:b/>
        </w:rPr>
        <w:t xml:space="preserve"> </w:t>
      </w:r>
      <w:r w:rsidRPr="00707FA8">
        <w:rPr>
          <w:b/>
        </w:rPr>
        <w:t>např. zemědělství, lesnictví a rybářství; ubytování, stravování a pohostinství nebo těžba a dobývání.</w:t>
      </w:r>
    </w:p>
    <w:p w:rsidR="00CE52DA" w:rsidRDefault="00CE52DA" w:rsidP="00CE52DA">
      <w:pPr>
        <w:spacing w:line="360" w:lineRule="auto"/>
      </w:pPr>
      <w:r>
        <w:t xml:space="preserve">Snížení nákladů vlivem e-commerce, on-line reklamy, optimalizace vnitřních procesů organizací a zjednodušením přístupu k informacím internetová ekonomika přináší benefit v podobě přidané hodnoty, která se však promítá v jiných odvětvích ekonomiky a to v odhadované výši </w:t>
      </w:r>
      <w:r w:rsidRPr="004515F2">
        <w:rPr>
          <w:b/>
        </w:rPr>
        <w:t>8,2 – 9,45 % HDP</w:t>
      </w:r>
      <w:r>
        <w:t xml:space="preserve">. Internet navíc přináší řadu dalších benefitů, které nejsou zaznamenány v přidané hodnotě. Jedná se například o spotřebitelský přebytek z levnějšího on-line prodeje, úsporu času ve vyhledávání zboží, snazší komunikaci s přáteli, snazší transfer znalostí přes internet a další výhody, které internet nabízí. </w:t>
      </w:r>
    </w:p>
    <w:p w:rsidR="0006108B" w:rsidRDefault="0006108B" w:rsidP="00CE52DA">
      <w:pPr>
        <w:spacing w:line="360" w:lineRule="auto"/>
        <w:rPr>
          <w:bCs/>
          <w:iCs/>
        </w:rPr>
      </w:pPr>
      <w:r>
        <w:t>Internetová ekonomika má také významný vliv na zaměstnanost</w:t>
      </w:r>
      <w:r w:rsidRPr="00F56294">
        <w:rPr>
          <w:b/>
        </w:rPr>
        <w:t xml:space="preserve">. </w:t>
      </w:r>
      <w:r w:rsidRPr="00F56294">
        <w:rPr>
          <w:b/>
          <w:bCs/>
          <w:iCs/>
        </w:rPr>
        <w:t>IT odborníci tvořili v roce 2011 2,5% (126 600 zaměstnaných včetně podnikatelů) podíl na celkové zaměstnanosti.</w:t>
      </w:r>
      <w:r>
        <w:rPr>
          <w:bCs/>
          <w:iCs/>
        </w:rPr>
        <w:t xml:space="preserve"> </w:t>
      </w:r>
      <w:r w:rsidRPr="00FB563C">
        <w:rPr>
          <w:b/>
          <w:bCs/>
          <w:iCs/>
        </w:rPr>
        <w:t>O něco větší množinu představují všichni zaměstnanci ICT sektoru, kterých bylo v roce 2011 cca 140 600, což znamenalo 2,8% podíl na celkové zaměstnanosti.</w:t>
      </w:r>
      <w:r>
        <w:rPr>
          <w:bCs/>
          <w:iCs/>
        </w:rPr>
        <w:t xml:space="preserve"> Internetová ekonomika má však mnohem významnější vliv na zaměstnanost, než je zaznamenáno v počtu zaměstnanců ICT sektoru i v počtu IT odborníků. Na základě studie </w:t>
      </w:r>
      <w:r>
        <w:t xml:space="preserve">Interactive Advertising Bureau </w:t>
      </w:r>
      <w:r>
        <w:rPr>
          <w:bCs/>
          <w:iCs/>
        </w:rPr>
        <w:t xml:space="preserve">(2009) odhadujeme, že pracovní místa vytvořená v internetové ekonomice mají takový mupltiplikativní efekt na celkovou zaměstnanost, že </w:t>
      </w:r>
      <w:r w:rsidRPr="00FB563C">
        <w:rPr>
          <w:b/>
          <w:bCs/>
          <w:iCs/>
        </w:rPr>
        <w:t>internetová ekonomika tvořila (přímo i nepřímo) v roce 2011 cca 316 500 pracovních míst (6,3 % na celkové zaměstnanosti v roce 2011).</w:t>
      </w:r>
      <w:r>
        <w:rPr>
          <w:b/>
          <w:bCs/>
          <w:iCs/>
        </w:rPr>
        <w:t xml:space="preserve"> Zaměstnanci, kteří používají v práci internet tvořili v roce 2012 34% podíl na celkové zaměstnanosti. </w:t>
      </w:r>
      <w:r>
        <w:rPr>
          <w:bCs/>
          <w:iCs/>
        </w:rPr>
        <w:t xml:space="preserve">Internet má vliv na </w:t>
      </w:r>
      <w:r w:rsidR="0061724B">
        <w:rPr>
          <w:bCs/>
          <w:iCs/>
        </w:rPr>
        <w:t>produktivitu práce celé této množiny</w:t>
      </w:r>
      <w:r>
        <w:rPr>
          <w:bCs/>
          <w:iCs/>
        </w:rPr>
        <w:t xml:space="preserve"> zaměstnanců.</w:t>
      </w:r>
    </w:p>
    <w:p w:rsidR="00DD5144" w:rsidRDefault="00DD5144" w:rsidP="00DD5144">
      <w:pPr>
        <w:spacing w:before="0" w:after="0" w:line="360" w:lineRule="auto"/>
        <w:rPr>
          <w:b/>
        </w:rPr>
      </w:pPr>
      <w:r w:rsidRPr="00B901A0">
        <w:t xml:space="preserve">Téměř všechny podniky nějakým způsobem využívají internet. V roce 2012 </w:t>
      </w:r>
      <w:r>
        <w:t xml:space="preserve">mělo </w:t>
      </w:r>
      <w:r w:rsidRPr="00B901A0">
        <w:t>97 % podnik</w:t>
      </w:r>
      <w:r>
        <w:t>ů přístup k internetu. 40 % podniků</w:t>
      </w:r>
      <w:r w:rsidRPr="00B901A0">
        <w:t xml:space="preserve"> používalo internet pro nákupy on-line a 25 % podniků používalo internet pro prodej on-line (alespoň 1 % objednáve</w:t>
      </w:r>
      <w:r>
        <w:t xml:space="preserve">k). </w:t>
      </w:r>
      <w:r w:rsidRPr="00DD5144">
        <w:rPr>
          <w:b/>
        </w:rPr>
        <w:t>Přestože samotný ICT sektor představuje přibližně pouhých 2,2 % podniků, tak je vidět, že internet jako průřezová technologie ovlivňuje ve větší či menší míře podnikání téměř všech firem v celé ekonomice.</w:t>
      </w:r>
    </w:p>
    <w:p w:rsidR="001E7783" w:rsidRPr="001E7783" w:rsidRDefault="001E7783" w:rsidP="00DD5144">
      <w:pPr>
        <w:spacing w:before="0" w:after="0" w:line="360" w:lineRule="auto"/>
      </w:pPr>
      <w:r>
        <w:t xml:space="preserve">Internetová ekonomika má významný vliv na konkurenceschopnost České republiky, protože je zaprvé odvětvím, kde je vysoká přidaná hodnota na zaměstnance (produktivita práce) a zadruhé má průřezově napříč celou ekonomikou pozitivní dopad na produktivitu práce a tím pádem i na konkurenceschopnost ČR. </w:t>
      </w:r>
      <w:r w:rsidRPr="00D37CB1">
        <w:rPr>
          <w:b/>
        </w:rPr>
        <w:t>V roce 2011 byla produktivita práce v ICT sektoru 1,3 mil. Kč za rok, zatímco průměr ČR byl pouhých 707 000, tedy téměř dvakrát méně.</w:t>
      </w:r>
      <w:r>
        <w:t xml:space="preserve"> </w:t>
      </w:r>
    </w:p>
    <w:p w:rsidR="0006108B" w:rsidRDefault="001E7783" w:rsidP="00CE52DA">
      <w:pPr>
        <w:spacing w:line="360" w:lineRule="auto"/>
      </w:pPr>
      <w:r>
        <w:t xml:space="preserve">Internetová ekonomika je dynamické, neustále se měnící odvětví, proto je potřeba sledovat a včas podchytit trendy v internetové ekonomice. Z konzultací a z literatury nám vyplynuly tyto trendy, </w:t>
      </w:r>
      <w:r>
        <w:lastRenderedPageBreak/>
        <w:t xml:space="preserve">které ve studii zmiňujeme: </w:t>
      </w:r>
      <w:r w:rsidRPr="00811507">
        <w:rPr>
          <w:b/>
        </w:rPr>
        <w:t>cloud computing, internet věcí, big data, webcasting, mobilita internetu, augmented reality a gamification</w:t>
      </w:r>
      <w:r>
        <w:t xml:space="preserve">. </w:t>
      </w:r>
    </w:p>
    <w:p w:rsidR="003A2D2F" w:rsidRPr="003A2D2F" w:rsidRDefault="003A2D2F" w:rsidP="003A2D2F">
      <w:pPr>
        <w:spacing w:line="360" w:lineRule="auto"/>
        <w:rPr>
          <w:bCs/>
          <w:iCs/>
        </w:rPr>
      </w:pPr>
      <w:r w:rsidRPr="003A2D2F">
        <w:rPr>
          <w:bCs/>
          <w:iCs/>
        </w:rPr>
        <w:t>Z kombinace hloubkového šetření a analýzy dat provedených v rámci této studie vyplývá, že mezi největší překážky rozvoje internetové ekonomiky v České republice patří české veřejné instituce a jejich personální obsazení, legislativa a nedostatky v oblasti lidských zdrojů – zejména z hlediska obecné digitální gramotnosti a dostupnosti ICT specialistů v rámci pracovní síly. Jako problém se naopak nejeví dostupnost financování pro podniky v oblasti ICT – a to ani z hlediska start-upů a začínajících malých a středních podniků, ani dostupnost financování investic a expanze internetových podniků, které jsou již na trhu zavedené.</w:t>
      </w:r>
    </w:p>
    <w:p w:rsidR="003A2D2F" w:rsidRPr="003A2D2F" w:rsidRDefault="003A2D2F" w:rsidP="003A2D2F">
      <w:pPr>
        <w:spacing w:line="360" w:lineRule="auto"/>
        <w:rPr>
          <w:bCs/>
          <w:iCs/>
        </w:rPr>
      </w:pPr>
      <w:r w:rsidRPr="003A2D2F">
        <w:rPr>
          <w:bCs/>
          <w:iCs/>
        </w:rPr>
        <w:t>Výsledky hloubkového šetření naznačují, že dotazované významné české internetové podniky vidí jako problém především to, že internet a internetová ekonomika nejsou v české hospodářské politice vnímány jako její silná stránka, která má potenciál významně přispět k rozvoji mezinárodní konkurenceschopnosti ČR a k růstu produktivity napříč jednotlivými odvětvími produkce zboží a služeb. Tento problém vyplývá z toho, že ve veřejném sektoru i v politice působí jen málo osob, které principům fungování internetové ekonomiky a jejímu významu skutečně rozumějí, což se následně projevuje v legislativě, která spíše nepřispívá k rozvoji internetové ekonomiky, v omezené schopnosti hájit zájmy ČR v této oblasti na úrovni EU, ale i v nepříliš systematickém a velkými problémy poznamenaném rozvoji e-Governmentu v ČR. Jako klíčová doporučení k odstranění této překážky se jeví aktivní komunikace významu internetu a internetové ekonomiky směrem k politické reprezentaci a úř</w:t>
      </w:r>
      <w:r>
        <w:rPr>
          <w:bCs/>
          <w:iCs/>
        </w:rPr>
        <w:t>edníkům veřejné správy a osvětov</w:t>
      </w:r>
      <w:r w:rsidRPr="003A2D2F">
        <w:rPr>
          <w:bCs/>
          <w:iCs/>
        </w:rPr>
        <w:t>á činnost zaměřená na prezentaci příkladů dobré praxe v podpoře internetové ekonomiky v zahraničí, které by mohly být inspirací i pro ČR.</w:t>
      </w:r>
    </w:p>
    <w:p w:rsidR="003A2D2F" w:rsidRDefault="003A2D2F" w:rsidP="003A2D2F">
      <w:pPr>
        <w:spacing w:line="360" w:lineRule="auto"/>
        <w:rPr>
          <w:bCs/>
          <w:iCs/>
        </w:rPr>
      </w:pPr>
      <w:r w:rsidRPr="003A2D2F">
        <w:rPr>
          <w:bCs/>
          <w:iCs/>
        </w:rPr>
        <w:t>Výsledky analýz a mezinárodních srovnání, ale i výsledky konzultací dále identifikovaly potřebu posílení vzdělávání v oblasti ICT jednak v rámci školské soustavy se zaměřením především na učitele a výuku ICT na školách, ale i v rámci mimoškolních aktivit dětí a dále v rámci vysokoškolského vzdělávání, aby ČR byla konkurenceschopná i z hlediska dostupnosti ICT specialistů – a to nejen absolventů obecného oboru informatika, ale i dalších, více specializovaných ICT profesí, které v ČR doposud jako obory neexistují.</w:t>
      </w:r>
    </w:p>
    <w:p w:rsidR="003A2D2F" w:rsidRDefault="003A2D2F" w:rsidP="003A2D2F">
      <w:pPr>
        <w:spacing w:line="360" w:lineRule="auto"/>
        <w:rPr>
          <w:bCs/>
          <w:iCs/>
        </w:rPr>
      </w:pPr>
    </w:p>
    <w:p w:rsidR="003A2D2F" w:rsidRDefault="003A2D2F" w:rsidP="003A2D2F">
      <w:pPr>
        <w:spacing w:line="360" w:lineRule="auto"/>
        <w:rPr>
          <w:bCs/>
          <w:iCs/>
        </w:rPr>
      </w:pPr>
    </w:p>
    <w:p w:rsidR="003A2D2F" w:rsidRPr="003A2D2F" w:rsidRDefault="003A2D2F" w:rsidP="003A2D2F">
      <w:pPr>
        <w:spacing w:line="360" w:lineRule="auto"/>
        <w:rPr>
          <w:bCs/>
          <w:iCs/>
        </w:rPr>
      </w:pPr>
    </w:p>
    <w:p w:rsidR="006732A5" w:rsidRDefault="006732A5" w:rsidP="006732A5">
      <w:pPr>
        <w:pStyle w:val="Nadpis1"/>
        <w:numPr>
          <w:ilvl w:val="0"/>
          <w:numId w:val="1"/>
        </w:numPr>
        <w:spacing w:line="360" w:lineRule="auto"/>
      </w:pPr>
      <w:bookmarkStart w:id="1" w:name="_Toc368040276"/>
      <w:r>
        <w:lastRenderedPageBreak/>
        <w:t>Úvod</w:t>
      </w:r>
      <w:bookmarkEnd w:id="1"/>
    </w:p>
    <w:p w:rsidR="006732A5" w:rsidRDefault="006732A5" w:rsidP="006732A5">
      <w:pPr>
        <w:spacing w:line="360" w:lineRule="auto"/>
      </w:pPr>
      <w:r w:rsidRPr="0099635C">
        <w:t xml:space="preserve">Internet </w:t>
      </w:r>
      <w:r>
        <w:t xml:space="preserve">dnes </w:t>
      </w:r>
      <w:r w:rsidRPr="0099635C">
        <w:t xml:space="preserve">spojuje miliardy uživatelů buď </w:t>
      </w:r>
      <w:r>
        <w:t>na přenosných</w:t>
      </w:r>
      <w:r w:rsidRPr="0099635C">
        <w:t>, nebo</w:t>
      </w:r>
      <w:r>
        <w:t xml:space="preserve"> pevných</w:t>
      </w:r>
      <w:r w:rsidRPr="0099635C">
        <w:t xml:space="preserve"> zařízení</w:t>
      </w:r>
      <w:r w:rsidR="008D2FEF">
        <w:t>ch</w:t>
      </w:r>
      <w:r w:rsidRPr="0099635C">
        <w:t xml:space="preserve">. </w:t>
      </w:r>
      <w:r>
        <w:t>Sítě elektronických komunikací a dostupnost rychlého připojení k internetu jsou v současné době nutnou podmínkou rozvoje mezinárodní konkurenceschopnosti států a jsou nutnou podmínkou zvyšování ekonomické produktivity a rozvoje. Důraz na rozvoj internetu se projevuje na úrovni EU (Strategie i2010), v některých státech je dokonce právo na přístup k internetu zakotven v ústavních zákonech (např. Finsko</w:t>
      </w:r>
      <w:r>
        <w:rPr>
          <w:rStyle w:val="Znakapoznpodarou"/>
        </w:rPr>
        <w:footnoteReference w:id="1"/>
      </w:r>
      <w:r>
        <w:t>) a podobně se k němu staví např. i OSN</w:t>
      </w:r>
      <w:r>
        <w:rPr>
          <w:rStyle w:val="Znakapoznpodarou"/>
        </w:rPr>
        <w:footnoteReference w:id="2"/>
      </w:r>
      <w:r>
        <w:t xml:space="preserve">. Rozvoj internetové ekonomiky má řada států světa ve svých prioritách a strategických plánech jako jedno z klíčových opatření ekonomického rozvoje. </w:t>
      </w:r>
    </w:p>
    <w:p w:rsidR="006732A5" w:rsidRDefault="006732A5" w:rsidP="006732A5">
      <w:pPr>
        <w:spacing w:line="360" w:lineRule="auto"/>
      </w:pPr>
      <w:r>
        <w:t>Je důležité podotknout, že internet má i nepřímé pozitivní ekonomické dopady. Internet je prospěšný pro spotřebitele, kterým usnadňuje možnosti volby mezi produkty a službami podle jejich vnitřních a vnějších charakteristik i podle ceny. Kromě toho internet poskytuje spotřebitelům rychlejší výměnu informací a sdílení názorů.</w:t>
      </w:r>
    </w:p>
    <w:p w:rsidR="006732A5" w:rsidRDefault="006732A5" w:rsidP="006732A5">
      <w:pPr>
        <w:spacing w:line="360" w:lineRule="auto"/>
      </w:pPr>
      <w:r>
        <w:t>Podle studie Interactive Advertising Bureau (dále studie IAB 2009)</w:t>
      </w:r>
      <w:r w:rsidR="008D2FEF">
        <w:rPr>
          <w:rStyle w:val="Znakapoznpodarou"/>
        </w:rPr>
        <w:footnoteReference w:id="3"/>
      </w:r>
      <w:r>
        <w:t>, kterou zpracoval John Quelch a John Deighton z Harvard Business School, má internet čtyři důležité výhody:</w:t>
      </w:r>
    </w:p>
    <w:p w:rsidR="006732A5" w:rsidRDefault="006732A5" w:rsidP="006732A5">
      <w:pPr>
        <w:pStyle w:val="Odstavecseseznamem"/>
        <w:numPr>
          <w:ilvl w:val="0"/>
          <w:numId w:val="21"/>
        </w:numPr>
        <w:spacing w:before="0" w:after="200" w:line="360" w:lineRule="auto"/>
      </w:pPr>
      <w:r>
        <w:t>Zaměstnanost – podle zmíněné studie vytváří 1 pracovní místo přímo v internetových podnicích (ať už ve vývoji nebo v internetové reklamě, v obchodě nebo tř</w:t>
      </w:r>
      <w:r w:rsidR="007D0BDB">
        <w:t>eba v grafice) navazujících cca</w:t>
      </w:r>
      <w:r>
        <w:t xml:space="preserve"> 1,5 míst v dalších odvětvích (díky tomu, že je internet průřezová technologie</w:t>
      </w:r>
      <w:r>
        <w:rPr>
          <w:rStyle w:val="Znakapoznpodarou"/>
        </w:rPr>
        <w:footnoteReference w:id="4"/>
      </w:r>
      <w:r>
        <w:t>) – posilování internetové ekonomiky tedy vede k tvorbě pracovních míst napříč celou ekonomikou.</w:t>
      </w:r>
    </w:p>
    <w:p w:rsidR="006732A5" w:rsidRDefault="006732A5" w:rsidP="006732A5">
      <w:pPr>
        <w:pStyle w:val="Odstavecseseznamem"/>
        <w:numPr>
          <w:ilvl w:val="0"/>
          <w:numId w:val="21"/>
        </w:numPr>
        <w:spacing w:before="0" w:after="200" w:line="360" w:lineRule="auto"/>
      </w:pPr>
      <w:r>
        <w:t xml:space="preserve">Usnadnění plateb - podle zmíněné studie internet přispívá ekonomice prostřednictvím reklamy, maloobchodních transakcí a přímých on-line plateb. </w:t>
      </w:r>
    </w:p>
    <w:p w:rsidR="006732A5" w:rsidRDefault="006732A5" w:rsidP="006732A5">
      <w:pPr>
        <w:pStyle w:val="Odstavecseseznamem"/>
        <w:numPr>
          <w:ilvl w:val="0"/>
          <w:numId w:val="21"/>
        </w:numPr>
        <w:spacing w:before="0" w:after="200" w:line="360" w:lineRule="auto"/>
      </w:pPr>
      <w:r>
        <w:t>Úspora času - internet přináší čas</w:t>
      </w:r>
      <w:r w:rsidR="007D0BDB">
        <w:t>ovou výhodu</w:t>
      </w:r>
      <w:r>
        <w:t xml:space="preserve"> rychlejší</w:t>
      </w:r>
      <w:r w:rsidR="007D0BDB">
        <w:t>m příj</w:t>
      </w:r>
      <w:r>
        <w:t>m</w:t>
      </w:r>
      <w:r w:rsidR="007D0BDB">
        <w:t>em</w:t>
      </w:r>
      <w:r>
        <w:t xml:space="preserve"> informací a šetření</w:t>
      </w:r>
      <w:r w:rsidR="007D0BDB">
        <w:t>m</w:t>
      </w:r>
      <w:r>
        <w:t xml:space="preserve"> času spotřebitelů.  </w:t>
      </w:r>
    </w:p>
    <w:p w:rsidR="006732A5" w:rsidRDefault="006732A5" w:rsidP="006732A5">
      <w:pPr>
        <w:pStyle w:val="Odstavecseseznamem"/>
        <w:numPr>
          <w:ilvl w:val="0"/>
          <w:numId w:val="21"/>
        </w:numPr>
        <w:spacing w:before="0" w:after="200" w:line="360" w:lineRule="auto"/>
      </w:pPr>
      <w:r>
        <w:t>Inovace – internet je technologická platforma, na jejímž základě dochází ke generování celé řady inovací vedoucích k rozvoji podnikání a zvyšování produktivity, a to zejména u malých podniků</w:t>
      </w:r>
      <w:r w:rsidR="007D0BDB">
        <w:t xml:space="preserve"> (SME)</w:t>
      </w:r>
      <w:r>
        <w:t xml:space="preserve">, které vytvářejí většinu nových pracovních míst v USA, ale tvoří i páteř podnikání v ČR. </w:t>
      </w:r>
    </w:p>
    <w:p w:rsidR="00C2708B" w:rsidRDefault="00174BAB" w:rsidP="006732A5">
      <w:pPr>
        <w:spacing w:line="360" w:lineRule="auto"/>
      </w:pPr>
      <w:r>
        <w:t xml:space="preserve">Díky výhodám, které internet nabízí v podnikání i osobním životě, stává se z internetové ekonomiky odvětví, které svou velikostí konkuruje tradičním odvětvím české ekonomiky. </w:t>
      </w:r>
      <w:r>
        <w:lastRenderedPageBreak/>
        <w:t>Vznikají ryze internetové projekty (např. webdesign, antiviry, mobilní aplikace), které tvoří jádro internetové ekonomiky a které umožňu</w:t>
      </w:r>
      <w:r w:rsidR="00B87DEC">
        <w:t xml:space="preserve">jí, aby bylo využívání internetu spolehlivé a efektivní a tím se její vliv na celkovou ekonomiku stále rozšiřuje. </w:t>
      </w:r>
    </w:p>
    <w:p w:rsidR="006732A5" w:rsidRDefault="006732A5" w:rsidP="006732A5">
      <w:pPr>
        <w:spacing w:line="360" w:lineRule="auto"/>
      </w:pPr>
      <w:r>
        <w:t>V rámci této analýzy se budeme zabývat následujícími aspekty internetové ekonomiky v ČR:</w:t>
      </w:r>
    </w:p>
    <w:p w:rsidR="006732A5" w:rsidRDefault="006732A5" w:rsidP="006732A5">
      <w:pPr>
        <w:pStyle w:val="Odstavecseseznamem"/>
        <w:numPr>
          <w:ilvl w:val="0"/>
          <w:numId w:val="22"/>
        </w:numPr>
        <w:spacing w:before="0" w:after="200" w:line="360" w:lineRule="auto"/>
      </w:pPr>
      <w:r>
        <w:t>Pozice v rámci EU z hlediska podniků a uživatelů internetu</w:t>
      </w:r>
    </w:p>
    <w:p w:rsidR="006732A5" w:rsidRDefault="006732A5" w:rsidP="006732A5">
      <w:pPr>
        <w:pStyle w:val="Odstavecseseznamem"/>
        <w:numPr>
          <w:ilvl w:val="0"/>
          <w:numId w:val="22"/>
        </w:numPr>
        <w:spacing w:before="0" w:after="200" w:line="360" w:lineRule="auto"/>
      </w:pPr>
      <w:r>
        <w:t>Vliv internetové ekonomiky na hrubý domácí produkt</w:t>
      </w:r>
    </w:p>
    <w:p w:rsidR="006732A5" w:rsidRDefault="006732A5" w:rsidP="006732A5">
      <w:pPr>
        <w:pStyle w:val="Odstavecseseznamem"/>
        <w:numPr>
          <w:ilvl w:val="0"/>
          <w:numId w:val="22"/>
        </w:numPr>
        <w:spacing w:before="0" w:after="200" w:line="360" w:lineRule="auto"/>
      </w:pPr>
      <w:r>
        <w:t>Investice v ICT sektoru</w:t>
      </w:r>
    </w:p>
    <w:p w:rsidR="006732A5" w:rsidRDefault="006732A5" w:rsidP="006732A5">
      <w:pPr>
        <w:pStyle w:val="Odstavecseseznamem"/>
        <w:numPr>
          <w:ilvl w:val="0"/>
          <w:numId w:val="22"/>
        </w:numPr>
        <w:spacing w:before="0" w:after="200" w:line="360" w:lineRule="auto"/>
      </w:pPr>
      <w:r>
        <w:t>Výdaje domácností v ICT sektoru</w:t>
      </w:r>
    </w:p>
    <w:p w:rsidR="006732A5" w:rsidRDefault="006732A5" w:rsidP="006732A5">
      <w:pPr>
        <w:pStyle w:val="Odstavecseseznamem"/>
        <w:numPr>
          <w:ilvl w:val="0"/>
          <w:numId w:val="22"/>
        </w:numPr>
        <w:spacing w:before="0" w:after="200" w:line="360" w:lineRule="auto"/>
      </w:pPr>
      <w:r>
        <w:t>Zahraniční obchod v ICT sektoru</w:t>
      </w:r>
    </w:p>
    <w:p w:rsidR="006732A5" w:rsidRDefault="006732A5" w:rsidP="006732A5">
      <w:pPr>
        <w:pStyle w:val="Odstavecseseznamem"/>
        <w:numPr>
          <w:ilvl w:val="0"/>
          <w:numId w:val="22"/>
        </w:numPr>
        <w:spacing w:before="0" w:after="200" w:line="360" w:lineRule="auto"/>
      </w:pPr>
      <w:r>
        <w:t xml:space="preserve">Zaměstnanost v internetové ekonomice </w:t>
      </w:r>
    </w:p>
    <w:p w:rsidR="006732A5" w:rsidRDefault="006732A5" w:rsidP="006732A5">
      <w:pPr>
        <w:pStyle w:val="Odstavecseseznamem"/>
        <w:numPr>
          <w:ilvl w:val="0"/>
          <w:numId w:val="22"/>
        </w:numPr>
        <w:spacing w:before="0" w:after="200" w:line="360" w:lineRule="auto"/>
      </w:pPr>
      <w:r>
        <w:t>Podniky v internetové ekonomice</w:t>
      </w:r>
    </w:p>
    <w:p w:rsidR="006732A5" w:rsidRDefault="006732A5" w:rsidP="006732A5">
      <w:pPr>
        <w:pStyle w:val="Odstavecseseznamem"/>
        <w:numPr>
          <w:ilvl w:val="0"/>
          <w:numId w:val="22"/>
        </w:numPr>
        <w:spacing w:before="0" w:after="200" w:line="360" w:lineRule="auto"/>
      </w:pPr>
      <w:r>
        <w:t>Přínos internetové ekonomiky pro konkurenceschopnost ČR</w:t>
      </w:r>
    </w:p>
    <w:p w:rsidR="00C2708B" w:rsidRDefault="00C2708B" w:rsidP="00C2708B">
      <w:pPr>
        <w:pStyle w:val="Odstavecseseznamem"/>
        <w:numPr>
          <w:ilvl w:val="0"/>
          <w:numId w:val="22"/>
        </w:numPr>
        <w:spacing w:before="0" w:after="200" w:line="360" w:lineRule="auto"/>
      </w:pPr>
      <w:r>
        <w:t>Trendy v internetové ekonomice</w:t>
      </w:r>
    </w:p>
    <w:p w:rsidR="006732A5" w:rsidRDefault="006732A5" w:rsidP="006732A5">
      <w:pPr>
        <w:spacing w:line="360" w:lineRule="auto"/>
      </w:pPr>
      <w:r>
        <w:t>Na analýzu naváže kapitola věnovaná identifikaci bariér rozvoje internetové ekonomiky a doporučením pro jejich odstranění a zlepšení rozvoje internetové ekonomiky v ČR.</w:t>
      </w:r>
    </w:p>
    <w:p w:rsidR="00D123D4" w:rsidRDefault="00D123D4" w:rsidP="006732A5">
      <w:pPr>
        <w:spacing w:line="360" w:lineRule="auto"/>
      </w:pPr>
    </w:p>
    <w:p w:rsidR="00D123D4" w:rsidRDefault="00D123D4" w:rsidP="006732A5">
      <w:pPr>
        <w:spacing w:line="360" w:lineRule="auto"/>
      </w:pPr>
    </w:p>
    <w:p w:rsidR="00D123D4" w:rsidRDefault="00D123D4" w:rsidP="006732A5">
      <w:pPr>
        <w:spacing w:line="360" w:lineRule="auto"/>
      </w:pPr>
    </w:p>
    <w:p w:rsidR="00D123D4" w:rsidRDefault="00D123D4" w:rsidP="006732A5">
      <w:pPr>
        <w:spacing w:line="360" w:lineRule="auto"/>
      </w:pPr>
    </w:p>
    <w:p w:rsidR="00D123D4" w:rsidRDefault="00D123D4" w:rsidP="006732A5">
      <w:pPr>
        <w:spacing w:line="360" w:lineRule="auto"/>
      </w:pPr>
    </w:p>
    <w:p w:rsidR="00D123D4" w:rsidRDefault="00D123D4" w:rsidP="006732A5">
      <w:pPr>
        <w:spacing w:line="360" w:lineRule="auto"/>
      </w:pPr>
    </w:p>
    <w:p w:rsidR="00D123D4" w:rsidRDefault="00D123D4" w:rsidP="006732A5">
      <w:pPr>
        <w:spacing w:line="360" w:lineRule="auto"/>
      </w:pPr>
    </w:p>
    <w:p w:rsidR="00D123D4" w:rsidRDefault="00D123D4" w:rsidP="006732A5">
      <w:pPr>
        <w:spacing w:line="360" w:lineRule="auto"/>
      </w:pPr>
    </w:p>
    <w:p w:rsidR="00D123D4" w:rsidRDefault="00D123D4" w:rsidP="006732A5">
      <w:pPr>
        <w:spacing w:line="360" w:lineRule="auto"/>
      </w:pPr>
    </w:p>
    <w:p w:rsidR="00D123D4" w:rsidRDefault="00D123D4" w:rsidP="006732A5">
      <w:pPr>
        <w:spacing w:line="360" w:lineRule="auto"/>
      </w:pPr>
    </w:p>
    <w:p w:rsidR="00D123D4" w:rsidRDefault="00D123D4" w:rsidP="006732A5">
      <w:pPr>
        <w:spacing w:line="360" w:lineRule="auto"/>
      </w:pPr>
    </w:p>
    <w:p w:rsidR="006732A5" w:rsidRDefault="006732A5" w:rsidP="006732A5">
      <w:pPr>
        <w:pStyle w:val="Nadpis1"/>
        <w:numPr>
          <w:ilvl w:val="0"/>
          <w:numId w:val="1"/>
        </w:numPr>
        <w:spacing w:line="360" w:lineRule="auto"/>
      </w:pPr>
      <w:bookmarkStart w:id="2" w:name="_Toc368040277"/>
      <w:r>
        <w:lastRenderedPageBreak/>
        <w:t>Pozice v rámci EU z hlediska podniků a uživatelů internetu</w:t>
      </w:r>
      <w:bookmarkEnd w:id="2"/>
    </w:p>
    <w:p w:rsidR="006732A5" w:rsidRDefault="006732A5" w:rsidP="006732A5">
      <w:pPr>
        <w:spacing w:line="360" w:lineRule="auto"/>
      </w:pPr>
      <w:r>
        <w:t>V této kapitole porovnáváme trendy ve využívání internetu se zeměmi EU. Tyto trendy mají vliv na velikost internetové ekonomiky, a</w:t>
      </w:r>
      <w:r w:rsidR="00AA27A3">
        <w:t>le také na ekonomiku jako celek</w:t>
      </w:r>
      <w:r>
        <w:t xml:space="preserve"> prostřednictvím úspory nákladů a zvyšováním produktivity práce v jiných odvětvích, než lze zařadit do internetové ekonomiky či sektoru ICT. </w:t>
      </w:r>
    </w:p>
    <w:p w:rsidR="006732A5" w:rsidRDefault="006732A5" w:rsidP="006732A5">
      <w:pPr>
        <w:spacing w:line="360" w:lineRule="auto"/>
      </w:pPr>
      <w:r>
        <w:t xml:space="preserve">Tato sekce souhrnně popisuje dosavadní vývoj a identifikuje možné překážky rozvoje. Detailnější datová část, na kterou se tato studie často odkazuje, včetně grafů byla umístěna do přílohy. </w:t>
      </w:r>
    </w:p>
    <w:p w:rsidR="006732A5" w:rsidRDefault="006732A5" w:rsidP="006732A5">
      <w:pPr>
        <w:pStyle w:val="Nadpis2"/>
        <w:numPr>
          <w:ilvl w:val="1"/>
          <w:numId w:val="1"/>
        </w:numPr>
        <w:spacing w:line="360" w:lineRule="auto"/>
      </w:pPr>
      <w:bookmarkStart w:id="3" w:name="_Toc368040278"/>
      <w:r>
        <w:t>Souhrn dosavadního vývoje a identifikace překážek rozvoje</w:t>
      </w:r>
      <w:bookmarkEnd w:id="3"/>
    </w:p>
    <w:p w:rsidR="006732A5" w:rsidRDefault="006732A5" w:rsidP="006732A5">
      <w:pPr>
        <w:spacing w:line="360" w:lineRule="auto"/>
      </w:pPr>
      <w:r>
        <w:t>České podniky jsou v EU nadprůměrně aktivní na internetu. Využív</w:t>
      </w:r>
      <w:r w:rsidR="00AA27A3">
        <w:t>ají internet jako nástroj</w:t>
      </w:r>
      <w:r>
        <w:t xml:space="preserve"> komunikace se spotřebiteli, s dalšími podniky, dodavateli, ale i s veřejnou správou. </w:t>
      </w:r>
      <w:r w:rsidRPr="00734B48">
        <w:t>Tato jejich aktivita v čase pru</w:t>
      </w:r>
      <w:r w:rsidR="00AA27A3">
        <w:t>dce roste (potvrzují data Eurostatu v příloze i data SPIR o využívání internetové reklamy</w:t>
      </w:r>
      <w:r w:rsidR="008E4D99">
        <w:rPr>
          <w:rStyle w:val="Znakapoznpodarou"/>
        </w:rPr>
        <w:footnoteReference w:id="5"/>
      </w:r>
      <w:r w:rsidRPr="00734B48">
        <w:t>).</w:t>
      </w:r>
      <w:r>
        <w:t xml:space="preserve"> </w:t>
      </w:r>
    </w:p>
    <w:p w:rsidR="002D09E9" w:rsidRDefault="006732A5" w:rsidP="006732A5">
      <w:pPr>
        <w:spacing w:line="360" w:lineRule="auto"/>
      </w:pPr>
      <w:r>
        <w:t xml:space="preserve">Nicméně IT gramotnost v českých podnicích se nevyvíjí takovým tempem jako podnikatelská aktivita na internetu. </w:t>
      </w:r>
      <w:r w:rsidR="00F11E74">
        <w:t>Nedostateč</w:t>
      </w:r>
      <w:r w:rsidR="00E31460">
        <w:t xml:space="preserve">né znalosti IT jsou indikovány především u nejširší skupiny běžných uživatelů, což snižuje potenciál výhod, které internet nabízí. </w:t>
      </w:r>
      <w:r w:rsidR="00F11E74">
        <w:t>Evropská studie Survey of Schools ICT in Education z roku 2013 však ukazuje, že uživatelské dovednosti s výpočetní technikou jsou u dnešních studentů v ČR lehce nadprůměrné ve srovnání s průměrem EU, což by mělo vést k postupnému zlepšování situace</w:t>
      </w:r>
      <w:r w:rsidR="00E9015D">
        <w:t>.</w:t>
      </w:r>
    </w:p>
    <w:p w:rsidR="006732A5" w:rsidRDefault="00E31460" w:rsidP="006732A5">
      <w:pPr>
        <w:spacing w:line="360" w:lineRule="auto"/>
      </w:pPr>
      <w:r>
        <w:t xml:space="preserve">Celoevropským problémem je však i nedostatek IT specialistů (což potvrzuje </w:t>
      </w:r>
      <w:r w:rsidR="00467841">
        <w:fldChar w:fldCharType="begin"/>
      </w:r>
      <w:r>
        <w:instrText xml:space="preserve"> REF _Ref367268833 \h </w:instrText>
      </w:r>
      <w:r w:rsidR="00467841">
        <w:fldChar w:fldCharType="separate"/>
      </w:r>
      <w:r w:rsidR="00A828CC">
        <w:t xml:space="preserve">Tabulka </w:t>
      </w:r>
      <w:r w:rsidR="00A828CC">
        <w:rPr>
          <w:noProof/>
        </w:rPr>
        <w:t>1</w:t>
      </w:r>
      <w:r w:rsidR="00467841">
        <w:fldChar w:fldCharType="end"/>
      </w:r>
      <w:r>
        <w:t xml:space="preserve">). </w:t>
      </w:r>
      <w:r w:rsidR="00E735B3">
        <w:t xml:space="preserve">Z konzultací s relevantními subjekty v rámci této studie </w:t>
      </w:r>
      <w:r w:rsidR="00A935E5">
        <w:t xml:space="preserve">také vyplynulo, že </w:t>
      </w:r>
      <w:r w:rsidR="00E735B3">
        <w:t xml:space="preserve">po absolvování vysokoškolského studia </w:t>
      </w:r>
      <w:r w:rsidR="00A935E5">
        <w:t xml:space="preserve">v ČR </w:t>
      </w:r>
      <w:r w:rsidR="00E735B3">
        <w:t>v oboru IT nejsou tito specialisté dostatečně připraveni na vykonávání práce IT specialistů a firmy jsou tak nuceny specialisty dovzdělávat</w:t>
      </w:r>
      <w:r w:rsidR="003B7E7E">
        <w:rPr>
          <w:rStyle w:val="Znakapoznpodarou"/>
        </w:rPr>
        <w:footnoteReference w:id="6"/>
      </w:r>
      <w:r w:rsidR="003B7E7E">
        <w:t xml:space="preserve">. I přesto v ČR vzniká řada úspěšných projektů, které jsou celosvětově konkurenceschopné. </w:t>
      </w:r>
      <w:r w:rsidR="006732A5" w:rsidRPr="006879F3">
        <w:t>Z hlediska vybavenosti fyzickou infrastrukturou a koncovými zařízeními pro internet, je na tom ČR podobně jako v průměru státy EU.</w:t>
      </w:r>
    </w:p>
    <w:p w:rsidR="006732A5" w:rsidRDefault="006732A5" w:rsidP="006732A5">
      <w:pPr>
        <w:spacing w:line="360" w:lineRule="auto"/>
      </w:pPr>
      <w:r>
        <w:t>V této studii vycházíme z dat z Eurostatu za posledních 10 le</w:t>
      </w:r>
      <w:r w:rsidR="00A935E5">
        <w:t xml:space="preserve">t. Nejbližší rok hodnocení je rok </w:t>
      </w:r>
      <w:r>
        <w:t>2</w:t>
      </w:r>
      <w:r w:rsidR="00A935E5">
        <w:t>012. Používáme EU jako srovnání</w:t>
      </w:r>
      <w:r>
        <w:t>, abychom mohli zjistit, do jaké míry jsou české podniky aktivní na internetu.</w:t>
      </w:r>
    </w:p>
    <w:p w:rsidR="006732A5" w:rsidRDefault="006732A5" w:rsidP="006732A5">
      <w:pPr>
        <w:spacing w:line="360" w:lineRule="auto"/>
      </w:pPr>
      <w:r>
        <w:t xml:space="preserve">Z analýzy dat Eurostatu vyplývá, že ve srovnání s průměrem EU je v ČR internet relativně hodně využíván podniky pro nákup i prodej on-line. </w:t>
      </w:r>
      <w:r w:rsidR="00A935E5">
        <w:t>Data zároveň potvrzují</w:t>
      </w:r>
      <w:r>
        <w:t xml:space="preserve"> nadprůměrný obrat firem </w:t>
      </w:r>
      <w:r>
        <w:lastRenderedPageBreak/>
        <w:t>z e</w:t>
      </w:r>
      <w:r w:rsidR="00A935E5">
        <w:t>-commerce ve srovnání s</w:t>
      </w:r>
      <w:r>
        <w:t xml:space="preserve"> EU. Nadprůměrně je v Čechách také využíváno internetové bankovnictví podniky, internet pro komunikaci s veřejnou správou (firmami i jednotlivci). V ČR vyšší procento podniků využívá IT specialisty a to přesto, že je ČR podprůměrná, co se týče užívání počítače v zaměstnání. To, že je ČR podprůměrná v užívání počítače v zaměstnání, je pravděpodobně ve velké míře dáno strukturou české ekonomiky, která je silně orientovaná na průmysl, zatímco vyspělejší země EU jsou více orientovány na služby, kde je počítač v zaměstnání používán více. Vysoké procento podniků s IT specialisty naproti tomu ukazuje na relativně větší ICT/internetovou ekonomiku v ČR oproti průměru EU z pohledu zaměstnanosti. </w:t>
      </w:r>
    </w:p>
    <w:p w:rsidR="002D09E9" w:rsidRDefault="006732A5" w:rsidP="006732A5">
      <w:pPr>
        <w:spacing w:line="360" w:lineRule="auto"/>
      </w:pPr>
      <w:r>
        <w:t xml:space="preserve">Průměrná až lehce podprůměrná oproti EU je Česká republika v kvalitě infrastruktury internetu. Vzhledem k vyspělosti české ekonomiky je stav infrastruktury ještě relativně dobrý, přesto kvalita sítě se může stát jednou z nejpodstatnějších brzd v rozvoji české internetové ekonomiky v budoucnu. </w:t>
      </w:r>
    </w:p>
    <w:p w:rsidR="00E9015D" w:rsidRDefault="00E9015D" w:rsidP="006732A5">
      <w:pPr>
        <w:spacing w:line="360" w:lineRule="auto"/>
      </w:pPr>
      <w:r>
        <w:t>P</w:t>
      </w:r>
      <w:r w:rsidR="006732A5">
        <w:t xml:space="preserve">roblém pro další rozvoj internetové ekonomiky budou pravděpodobně představovat IT dovednosti české populace, u nichž lze z přehledu dat z přílohy této studie shrnout, že jsou lehce podprůměrné ve srovnání s EU a to přesto, že v ČR vzniká spousta velice konkurenceschopných projektů, pocházejících ze segmentu internetové ekonomiky. </w:t>
      </w:r>
      <w:r>
        <w:t>Evropská studie Survey of Schools ICT in Education z roku 2013 však naznačuje, že IT gramotnost české populace by se měla v čase zlepšovat (i relativně ve srovnání s EU), protože IT gramotnost českých studentů je v EU lehce nadprůměrná.</w:t>
      </w:r>
    </w:p>
    <w:p w:rsidR="006732A5" w:rsidRDefault="006732A5" w:rsidP="006732A5">
      <w:pPr>
        <w:spacing w:line="360" w:lineRule="auto"/>
      </w:pPr>
      <w:r>
        <w:t>Přínos internetu pro celkovou ekonomiku však nespočívá pouze v přímém dopadu na HDP, bereme-li internetovou ekonomiku jako odvětví, ale také v jeho přínosu ze snižování transakčních nákladů, času a zvyšování produktivity práce zjednodušením firemních procesů a zefektivněním toku informací. Jestliže dovednosti velké části populace nekopírují dostatečně možnosti, které technologický vývoj v segmentu internetu přináší, pak je potenciál nových možností nevyužit.</w:t>
      </w:r>
    </w:p>
    <w:p w:rsidR="002D09E9" w:rsidRDefault="006732A5" w:rsidP="006732A5">
      <w:pPr>
        <w:spacing w:line="360" w:lineRule="auto"/>
      </w:pPr>
      <w:r>
        <w:t xml:space="preserve">Podobné závěry přinesla i studie Světového ekonomického fóra (2012) o tzv. indexu síťové připravenosti (Networked Readiness Report, dále NRI), podle které jsou v ČR </w:t>
      </w:r>
      <w:r w:rsidR="00E9015D">
        <w:t xml:space="preserve">(zatím) </w:t>
      </w:r>
      <w:r>
        <w:t>průměrné až lehce podprůměrné internetové dovednosti populace, přístup k internetu je relativně drahý a je zde podprůměrné regulatorní</w:t>
      </w:r>
      <w:r w:rsidR="002D09E9">
        <w:rPr>
          <w:rStyle w:val="Znakapoznpodarou"/>
        </w:rPr>
        <w:footnoteReference w:id="7"/>
      </w:r>
      <w:r>
        <w:t xml:space="preserve"> i firemní inovativní prostředí. Na druhou stranu je v ČR relativně kvalitní infrastruktura a především firmy využívají internet více než většina zemí EU k zefektivnění vnitřních procesů a k e-commerce. </w:t>
      </w:r>
    </w:p>
    <w:p w:rsidR="006732A5" w:rsidRDefault="006732A5" w:rsidP="006732A5">
      <w:pPr>
        <w:spacing w:line="360" w:lineRule="auto"/>
      </w:pPr>
      <w:r>
        <w:lastRenderedPageBreak/>
        <w:t>Index NRI (2012) měří tzv. síťovou připravenost, která se skládá ze 4 pilířů, které dohromady obsahují 10 hlavních faktorů. První tři pilíře představují předpoklady pro úspěšnost internetové ekonomiky, zatímco čtvrtý pilíř odhaduje široké ekonomické a sociální dopady plynoucí z informačních a komunikačních technologií s cílem posílit konkurenceschopnost a blahobyt a které odrážejí proměny směrem k ICT a technologicky zdatné ekonomice. Následující obrázek charakterizuje hrubou strukturu indexu.</w:t>
      </w:r>
    </w:p>
    <w:p w:rsidR="002D09E9" w:rsidRDefault="002D09E9" w:rsidP="006732A5">
      <w:pPr>
        <w:spacing w:line="360" w:lineRule="auto"/>
      </w:pPr>
    </w:p>
    <w:p w:rsidR="006732A5" w:rsidRDefault="006732A5" w:rsidP="006732A5">
      <w:pPr>
        <w:pStyle w:val="Titulek"/>
        <w:spacing w:line="360" w:lineRule="auto"/>
      </w:pPr>
      <w:r>
        <w:t xml:space="preserve">Obrázek </w:t>
      </w:r>
      <w:fldSimple w:instr=" SEQ Obrázek \* ARABIC ">
        <w:r w:rsidR="00A828CC">
          <w:rPr>
            <w:noProof/>
          </w:rPr>
          <w:t>1</w:t>
        </w:r>
      </w:fldSimple>
      <w:r>
        <w:t>: Struktura NRI</w:t>
      </w:r>
    </w:p>
    <w:p w:rsidR="006732A5" w:rsidRDefault="006732A5" w:rsidP="006732A5">
      <w:pPr>
        <w:spacing w:line="360" w:lineRule="auto"/>
      </w:pPr>
      <w:r w:rsidRPr="00CF001D">
        <w:rPr>
          <w:noProof/>
          <w:lang w:eastAsia="cs-CZ"/>
        </w:rPr>
        <w:drawing>
          <wp:inline distT="0" distB="0" distL="0" distR="0">
            <wp:extent cx="5760720" cy="3055369"/>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760720" cy="3055369"/>
                    </a:xfrm>
                    <a:prstGeom prst="rect">
                      <a:avLst/>
                    </a:prstGeom>
                    <a:noFill/>
                    <a:ln w="9525">
                      <a:noFill/>
                      <a:miter lim="800000"/>
                      <a:headEnd/>
                      <a:tailEnd/>
                    </a:ln>
                  </pic:spPr>
                </pic:pic>
              </a:graphicData>
            </a:graphic>
          </wp:inline>
        </w:drawing>
      </w:r>
    </w:p>
    <w:p w:rsidR="00FD0B65" w:rsidRDefault="00723022" w:rsidP="00FD0B65">
      <w:pPr>
        <w:spacing w:line="360" w:lineRule="auto"/>
        <w:rPr>
          <w:i/>
        </w:rPr>
      </w:pPr>
      <w:r>
        <w:rPr>
          <w:i/>
        </w:rPr>
        <w:t xml:space="preserve">Poznámka: Dostupností jsou myšleny náklady na přístup k internetu (pokrytí je součástí faktoru infrastruktura), Sociálním účinkem jsou myšleny zlepšení, které přináší ICT technologie pro blahobyt společnosti a které nejsou měřitelné běžnými ekonomickými ukazateli (dopady na životní prostředí, vzdělávání, aktivizace občanské společnosti apod.) </w:t>
      </w:r>
    </w:p>
    <w:p w:rsidR="006732A5" w:rsidRDefault="006732A5" w:rsidP="00FD0B65">
      <w:pPr>
        <w:spacing w:line="360" w:lineRule="auto"/>
      </w:pPr>
      <w:r>
        <w:t>Zdroj: EEIP na základě Světového ekonomického fóra</w:t>
      </w:r>
    </w:p>
    <w:p w:rsidR="00FD0B65" w:rsidRPr="00FD0B65" w:rsidRDefault="00FD0B65" w:rsidP="00723022">
      <w:pPr>
        <w:spacing w:line="276" w:lineRule="auto"/>
        <w:rPr>
          <w:i/>
        </w:rPr>
      </w:pPr>
    </w:p>
    <w:p w:rsidR="00FD0B65" w:rsidRDefault="006732A5" w:rsidP="006732A5">
      <w:pPr>
        <w:spacing w:line="360" w:lineRule="auto"/>
      </w:pPr>
      <w:r>
        <w:t>Všech 10 hlavních faktorů, které se skládají z dalších proměnných, mají v konstrukci výsledného indexu stejnou váhu. Graf níže ukazuje, jak si stojí ČR v těchto ukazatelích ve srovnání s vybranými zeměmi.</w:t>
      </w:r>
    </w:p>
    <w:p w:rsidR="00FD0B65" w:rsidRDefault="00FD0B65" w:rsidP="006732A5">
      <w:pPr>
        <w:spacing w:line="360" w:lineRule="auto"/>
      </w:pPr>
    </w:p>
    <w:p w:rsidR="00D123D4" w:rsidRDefault="00D123D4" w:rsidP="006732A5">
      <w:pPr>
        <w:spacing w:line="360" w:lineRule="auto"/>
      </w:pPr>
    </w:p>
    <w:p w:rsidR="00D123D4" w:rsidRDefault="00D123D4" w:rsidP="006732A5">
      <w:pPr>
        <w:spacing w:line="360" w:lineRule="auto"/>
      </w:pPr>
    </w:p>
    <w:p w:rsidR="00D123D4" w:rsidRDefault="00D123D4" w:rsidP="006732A5">
      <w:pPr>
        <w:pStyle w:val="Titulek"/>
        <w:spacing w:line="360" w:lineRule="auto"/>
      </w:pPr>
    </w:p>
    <w:p w:rsidR="006732A5" w:rsidRDefault="006732A5" w:rsidP="006732A5">
      <w:pPr>
        <w:pStyle w:val="Titulek"/>
        <w:spacing w:line="360" w:lineRule="auto"/>
      </w:pPr>
      <w:r>
        <w:t xml:space="preserve">Obrázek </w:t>
      </w:r>
      <w:fldSimple w:instr=" SEQ Obrázek \* ARABIC ">
        <w:r w:rsidR="00A828CC">
          <w:rPr>
            <w:noProof/>
          </w:rPr>
          <w:t>2</w:t>
        </w:r>
      </w:fldSimple>
      <w:r>
        <w:t>: Srovnání vybraných zemí v jednotlivých složkách NRI</w:t>
      </w:r>
    </w:p>
    <w:p w:rsidR="006732A5" w:rsidRDefault="006732A5" w:rsidP="006732A5">
      <w:pPr>
        <w:spacing w:line="360" w:lineRule="auto"/>
      </w:pPr>
      <w:r w:rsidRPr="00E76A93">
        <w:rPr>
          <w:noProof/>
          <w:lang w:eastAsia="cs-CZ"/>
        </w:rPr>
        <w:drawing>
          <wp:inline distT="0" distB="0" distL="0" distR="0">
            <wp:extent cx="5760720" cy="2851192"/>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760720" cy="2851192"/>
                    </a:xfrm>
                    <a:prstGeom prst="rect">
                      <a:avLst/>
                    </a:prstGeom>
                    <a:noFill/>
                    <a:ln w="9525">
                      <a:noFill/>
                      <a:miter lim="800000"/>
                      <a:headEnd/>
                      <a:tailEnd/>
                    </a:ln>
                  </pic:spPr>
                </pic:pic>
              </a:graphicData>
            </a:graphic>
          </wp:inline>
        </w:drawing>
      </w:r>
    </w:p>
    <w:p w:rsidR="006732A5" w:rsidRDefault="006732A5" w:rsidP="006732A5">
      <w:pPr>
        <w:spacing w:line="360" w:lineRule="auto"/>
      </w:pPr>
      <w:r>
        <w:t>Zdroj: EEIP na základě Světového ekonomického fóra</w:t>
      </w:r>
      <w:r w:rsidR="0064719E">
        <w:t>, 2013</w:t>
      </w:r>
    </w:p>
    <w:p w:rsidR="00D123D4" w:rsidRDefault="00D123D4" w:rsidP="006732A5">
      <w:pPr>
        <w:spacing w:line="360" w:lineRule="auto"/>
      </w:pPr>
    </w:p>
    <w:p w:rsidR="006732A5" w:rsidRDefault="006732A5" w:rsidP="006732A5">
      <w:pPr>
        <w:spacing w:line="360" w:lineRule="auto"/>
      </w:pPr>
      <w:r>
        <w:t>Obrázek ukazuje, že ČR zaostává ve většině faktorů za vyspělejšími zeměmi EU. Ve srovnání s Polskem a Slovenskem je na tom však o trochu lépe. Celková hodnota indexu síťové připravenosti řadí Českou republiku na 42. místo, což je průměrný výsledek s ohledem na vyspělost české ekonomiky</w:t>
      </w:r>
      <w:r>
        <w:rPr>
          <w:rStyle w:val="Znakapoznpodarou"/>
        </w:rPr>
        <w:footnoteReference w:id="8"/>
      </w:r>
      <w:r>
        <w:t>.</w:t>
      </w:r>
    </w:p>
    <w:p w:rsidR="006732A5" w:rsidRDefault="006732A5" w:rsidP="006732A5">
      <w:pPr>
        <w:spacing w:line="360" w:lineRule="auto"/>
      </w:pPr>
      <w:r>
        <w:t xml:space="preserve">Dle NRI největší problém v ČR momentálně představuje firemní a inovativní prostředí, které se z velké části skládá z indexu snadnosti podnikání, který pravidelně aktualizuje Světová banka. Dalším problémem, který </w:t>
      </w:r>
      <w:r w:rsidR="00E9015D">
        <w:t xml:space="preserve">může </w:t>
      </w:r>
      <w:r>
        <w:t xml:space="preserve">ČR </w:t>
      </w:r>
      <w:r w:rsidR="00E9015D">
        <w:t xml:space="preserve">ale i celá EU </w:t>
      </w:r>
      <w:r>
        <w:t xml:space="preserve">v budoucnu mít, je její nedostatečná nabídka IT dovedností, což </w:t>
      </w:r>
      <w:r w:rsidR="00E9015D">
        <w:t>může limitovat</w:t>
      </w:r>
      <w:r>
        <w:t xml:space="preserve"> přínos internetu pro ekonomiku. </w:t>
      </w:r>
    </w:p>
    <w:p w:rsidR="006732A5" w:rsidRDefault="006732A5" w:rsidP="006732A5">
      <w:pPr>
        <w:spacing w:line="360" w:lineRule="auto"/>
      </w:pPr>
      <w:r>
        <w:t>Dle studie Cattaneo et al. (2009) připravené pro Evropskou komisi (dále e-skills Monitor 2009), za účelem predikce vývoje nabídky a poptávky IT dovedností v Evropě, bude již v roce 2015 v EU nedostatečná nabídka IT dovedností. Jelikož vývoj v nabídce a poptávce po IT odbornících</w:t>
      </w:r>
      <w:r>
        <w:rPr>
          <w:rStyle w:val="Znakapoznpodarou"/>
        </w:rPr>
        <w:footnoteReference w:id="9"/>
      </w:r>
      <w:r>
        <w:t xml:space="preserve"> závisí do značné míry na ekonomickém vývoji a na tom na jakých základech bude ekonomický růst postaven, rozděluje studie predikci do 5 různých scénářů vývoje ekonomiky. Jelikož vychování IT specialistů je dlouhodobější proces a poptávka naopak reaguje na potřeby </w:t>
      </w:r>
      <w:r>
        <w:lastRenderedPageBreak/>
        <w:t>trhu téměř okamžitě, odhadované počty poptávaných IT odborníků jsou více volatilní vzhledem k různým scénářům vývoje, než je nabídka IT odborníků.</w:t>
      </w:r>
    </w:p>
    <w:p w:rsidR="006732A5" w:rsidRDefault="006732A5" w:rsidP="006732A5">
      <w:pPr>
        <w:spacing w:line="360" w:lineRule="auto"/>
      </w:pPr>
      <w:r>
        <w:t>Následující tabulka zobrazuje predikci z konce roku 2009 ohledně vývoje nabídky a poptávky IT dovedností. Tabulka vyjadřuje počty IT odborníků</w:t>
      </w:r>
      <w:r w:rsidR="00FD0B65">
        <w:t xml:space="preserve"> (jednotlivců v EU)</w:t>
      </w:r>
      <w:r>
        <w:t>, respektive nabídku a poptávku po nich a jejich přebytek či nedostatek.</w:t>
      </w:r>
    </w:p>
    <w:p w:rsidR="006732A5" w:rsidRDefault="006732A5" w:rsidP="006732A5">
      <w:pPr>
        <w:spacing w:line="360" w:lineRule="auto"/>
      </w:pPr>
    </w:p>
    <w:p w:rsidR="006732A5" w:rsidRDefault="006732A5" w:rsidP="006732A5">
      <w:pPr>
        <w:pStyle w:val="Titulek"/>
        <w:spacing w:line="360" w:lineRule="auto"/>
      </w:pPr>
      <w:bookmarkStart w:id="4" w:name="_Ref367268833"/>
      <w:r>
        <w:t xml:space="preserve">Tabulka </w:t>
      </w:r>
      <w:fldSimple w:instr=" SEQ Tabulka \* ARABIC ">
        <w:r w:rsidR="00A828CC">
          <w:rPr>
            <w:noProof/>
          </w:rPr>
          <w:t>1</w:t>
        </w:r>
      </w:fldSimple>
      <w:bookmarkEnd w:id="4"/>
      <w:r>
        <w:t>: Předpokládaná nabídka a poptávka po IT odbornících v roce 2010 a 2015</w:t>
      </w:r>
    </w:p>
    <w:tbl>
      <w:tblPr>
        <w:tblW w:w="8728" w:type="dxa"/>
        <w:tblInd w:w="55" w:type="dxa"/>
        <w:tblCellMar>
          <w:left w:w="70" w:type="dxa"/>
          <w:right w:w="70" w:type="dxa"/>
        </w:tblCellMar>
        <w:tblLook w:val="04A0"/>
      </w:tblPr>
      <w:tblGrid>
        <w:gridCol w:w="320"/>
        <w:gridCol w:w="1963"/>
        <w:gridCol w:w="1134"/>
        <w:gridCol w:w="1134"/>
        <w:gridCol w:w="998"/>
        <w:gridCol w:w="1129"/>
        <w:gridCol w:w="1052"/>
        <w:gridCol w:w="998"/>
      </w:tblGrid>
      <w:tr w:rsidR="006732A5" w:rsidRPr="007C5D2E" w:rsidTr="006732A5">
        <w:trPr>
          <w:trHeight w:val="300"/>
        </w:trPr>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2A5" w:rsidRPr="007C5D2E" w:rsidRDefault="006732A5" w:rsidP="006732A5">
            <w:pPr>
              <w:spacing w:before="0" w:after="0" w:line="360" w:lineRule="auto"/>
              <w:jc w:val="left"/>
              <w:rPr>
                <w:rFonts w:ascii="Calibri" w:eastAsia="Times New Roman" w:hAnsi="Calibri" w:cs="Calibri"/>
                <w:color w:val="000000"/>
                <w:sz w:val="22"/>
                <w:lang w:eastAsia="cs-CZ"/>
              </w:rPr>
            </w:pPr>
            <w:r w:rsidRPr="007C5D2E">
              <w:rPr>
                <w:rFonts w:ascii="Calibri" w:eastAsia="Times New Roman" w:hAnsi="Calibri" w:cs="Calibri"/>
                <w:color w:val="000000"/>
                <w:sz w:val="22"/>
                <w:lang w:eastAsia="cs-CZ"/>
              </w:rPr>
              <w:t> </w:t>
            </w:r>
          </w:p>
        </w:tc>
        <w:tc>
          <w:tcPr>
            <w:tcW w:w="1963" w:type="dxa"/>
            <w:tcBorders>
              <w:top w:val="single" w:sz="4" w:space="0" w:color="auto"/>
              <w:left w:val="nil"/>
              <w:bottom w:val="single" w:sz="4" w:space="0" w:color="auto"/>
              <w:right w:val="single" w:sz="4" w:space="0" w:color="auto"/>
            </w:tcBorders>
            <w:shd w:val="clear" w:color="auto" w:fill="auto"/>
            <w:noWrap/>
            <w:vAlign w:val="bottom"/>
            <w:hideMark/>
          </w:tcPr>
          <w:p w:rsidR="006732A5" w:rsidRPr="007C5D2E" w:rsidRDefault="006732A5" w:rsidP="006732A5">
            <w:pPr>
              <w:spacing w:before="0" w:after="0" w:line="360" w:lineRule="auto"/>
              <w:jc w:val="left"/>
              <w:rPr>
                <w:rFonts w:ascii="Calibri" w:eastAsia="Times New Roman" w:hAnsi="Calibri" w:cs="Calibri"/>
                <w:color w:val="000000"/>
                <w:sz w:val="22"/>
                <w:lang w:eastAsia="cs-CZ"/>
              </w:rPr>
            </w:pPr>
            <w:r w:rsidRPr="007C5D2E">
              <w:rPr>
                <w:rFonts w:ascii="Calibri" w:eastAsia="Times New Roman" w:hAnsi="Calibri" w:cs="Calibri"/>
                <w:color w:val="000000"/>
                <w:sz w:val="22"/>
                <w:lang w:eastAsia="cs-CZ"/>
              </w:rPr>
              <w:t> </w:t>
            </w:r>
          </w:p>
        </w:tc>
        <w:tc>
          <w:tcPr>
            <w:tcW w:w="3266" w:type="dxa"/>
            <w:gridSpan w:val="3"/>
            <w:tcBorders>
              <w:top w:val="single" w:sz="4" w:space="0" w:color="auto"/>
              <w:left w:val="nil"/>
              <w:bottom w:val="single" w:sz="4" w:space="0" w:color="auto"/>
              <w:right w:val="single" w:sz="4" w:space="0" w:color="auto"/>
            </w:tcBorders>
            <w:shd w:val="clear" w:color="auto" w:fill="auto"/>
            <w:noWrap/>
            <w:vAlign w:val="bottom"/>
            <w:hideMark/>
          </w:tcPr>
          <w:p w:rsidR="006732A5" w:rsidRPr="007C5D2E" w:rsidRDefault="006732A5" w:rsidP="006732A5">
            <w:pPr>
              <w:spacing w:before="0" w:after="0" w:line="360" w:lineRule="auto"/>
              <w:jc w:val="center"/>
              <w:rPr>
                <w:rFonts w:ascii="Calibri" w:eastAsia="Times New Roman" w:hAnsi="Calibri" w:cs="Calibri"/>
                <w:b/>
                <w:bCs/>
                <w:color w:val="000000"/>
                <w:sz w:val="22"/>
                <w:lang w:eastAsia="cs-CZ"/>
              </w:rPr>
            </w:pPr>
            <w:r w:rsidRPr="007C5D2E">
              <w:rPr>
                <w:rFonts w:ascii="Calibri" w:eastAsia="Times New Roman" w:hAnsi="Calibri" w:cs="Calibri"/>
                <w:b/>
                <w:bCs/>
                <w:color w:val="000000"/>
                <w:sz w:val="22"/>
                <w:lang w:eastAsia="cs-CZ"/>
              </w:rPr>
              <w:t>2010</w:t>
            </w:r>
          </w:p>
        </w:tc>
        <w:tc>
          <w:tcPr>
            <w:tcW w:w="3179" w:type="dxa"/>
            <w:gridSpan w:val="3"/>
            <w:tcBorders>
              <w:top w:val="single" w:sz="4" w:space="0" w:color="auto"/>
              <w:left w:val="nil"/>
              <w:bottom w:val="single" w:sz="4" w:space="0" w:color="auto"/>
              <w:right w:val="single" w:sz="4" w:space="0" w:color="auto"/>
            </w:tcBorders>
            <w:shd w:val="clear" w:color="auto" w:fill="auto"/>
            <w:noWrap/>
            <w:vAlign w:val="bottom"/>
            <w:hideMark/>
          </w:tcPr>
          <w:p w:rsidR="006732A5" w:rsidRPr="007C5D2E" w:rsidRDefault="006732A5" w:rsidP="006732A5">
            <w:pPr>
              <w:spacing w:before="0" w:after="0" w:line="360" w:lineRule="auto"/>
              <w:jc w:val="center"/>
              <w:rPr>
                <w:rFonts w:ascii="Calibri" w:eastAsia="Times New Roman" w:hAnsi="Calibri" w:cs="Calibri"/>
                <w:b/>
                <w:bCs/>
                <w:color w:val="000000"/>
                <w:sz w:val="22"/>
                <w:lang w:eastAsia="cs-CZ"/>
              </w:rPr>
            </w:pPr>
            <w:r w:rsidRPr="007C5D2E">
              <w:rPr>
                <w:rFonts w:ascii="Calibri" w:eastAsia="Times New Roman" w:hAnsi="Calibri" w:cs="Calibri"/>
                <w:b/>
                <w:bCs/>
                <w:color w:val="000000"/>
                <w:sz w:val="22"/>
                <w:lang w:eastAsia="cs-CZ"/>
              </w:rPr>
              <w:t>2015</w:t>
            </w:r>
          </w:p>
        </w:tc>
      </w:tr>
      <w:tr w:rsidR="006732A5" w:rsidRPr="007C5D2E" w:rsidTr="006732A5">
        <w:trPr>
          <w:trHeight w:val="6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6732A5" w:rsidRPr="007C5D2E" w:rsidRDefault="006732A5" w:rsidP="006732A5">
            <w:pPr>
              <w:spacing w:before="0" w:after="0" w:line="360" w:lineRule="auto"/>
              <w:jc w:val="left"/>
              <w:rPr>
                <w:rFonts w:ascii="Calibri" w:eastAsia="Times New Roman" w:hAnsi="Calibri" w:cs="Calibri"/>
                <w:color w:val="000000"/>
                <w:sz w:val="22"/>
                <w:lang w:eastAsia="cs-CZ"/>
              </w:rPr>
            </w:pPr>
            <w:r w:rsidRPr="007C5D2E">
              <w:rPr>
                <w:rFonts w:ascii="Calibri" w:eastAsia="Times New Roman" w:hAnsi="Calibri" w:cs="Calibri"/>
                <w:color w:val="000000"/>
                <w:sz w:val="22"/>
                <w:lang w:eastAsia="cs-CZ"/>
              </w:rPr>
              <w:t> </w:t>
            </w:r>
          </w:p>
        </w:tc>
        <w:tc>
          <w:tcPr>
            <w:tcW w:w="1963" w:type="dxa"/>
            <w:tcBorders>
              <w:top w:val="nil"/>
              <w:left w:val="nil"/>
              <w:bottom w:val="single" w:sz="4" w:space="0" w:color="auto"/>
              <w:right w:val="single" w:sz="4" w:space="0" w:color="auto"/>
            </w:tcBorders>
            <w:shd w:val="clear" w:color="auto" w:fill="auto"/>
            <w:noWrap/>
            <w:vAlign w:val="bottom"/>
            <w:hideMark/>
          </w:tcPr>
          <w:p w:rsidR="006732A5" w:rsidRPr="007C5D2E" w:rsidRDefault="006732A5" w:rsidP="006732A5">
            <w:pPr>
              <w:spacing w:before="0" w:after="0" w:line="360" w:lineRule="auto"/>
              <w:jc w:val="left"/>
              <w:rPr>
                <w:rFonts w:ascii="Calibri" w:eastAsia="Times New Roman" w:hAnsi="Calibri" w:cs="Calibri"/>
                <w:b/>
                <w:bCs/>
                <w:color w:val="000000"/>
                <w:sz w:val="22"/>
                <w:lang w:eastAsia="cs-CZ"/>
              </w:rPr>
            </w:pPr>
            <w:r w:rsidRPr="007C5D2E">
              <w:rPr>
                <w:rFonts w:ascii="Calibri" w:eastAsia="Times New Roman" w:hAnsi="Calibri" w:cs="Calibri"/>
                <w:b/>
                <w:bCs/>
                <w:color w:val="000000"/>
                <w:sz w:val="22"/>
                <w:lang w:eastAsia="cs-CZ"/>
              </w:rPr>
              <w:t>scénáře</w:t>
            </w:r>
          </w:p>
        </w:tc>
        <w:tc>
          <w:tcPr>
            <w:tcW w:w="1134" w:type="dxa"/>
            <w:tcBorders>
              <w:top w:val="nil"/>
              <w:left w:val="nil"/>
              <w:bottom w:val="single" w:sz="4" w:space="0" w:color="auto"/>
              <w:right w:val="single" w:sz="4" w:space="0" w:color="auto"/>
            </w:tcBorders>
            <w:shd w:val="clear" w:color="auto" w:fill="auto"/>
            <w:noWrap/>
            <w:vAlign w:val="bottom"/>
            <w:hideMark/>
          </w:tcPr>
          <w:p w:rsidR="006732A5" w:rsidRPr="007C5D2E" w:rsidRDefault="006732A5" w:rsidP="006732A5">
            <w:pPr>
              <w:spacing w:before="0" w:after="0" w:line="360" w:lineRule="auto"/>
              <w:jc w:val="left"/>
              <w:rPr>
                <w:rFonts w:ascii="Calibri" w:eastAsia="Times New Roman" w:hAnsi="Calibri" w:cs="Calibri"/>
                <w:b/>
                <w:bCs/>
                <w:color w:val="000000"/>
                <w:sz w:val="22"/>
                <w:lang w:eastAsia="cs-CZ"/>
              </w:rPr>
            </w:pPr>
            <w:r w:rsidRPr="007C5D2E">
              <w:rPr>
                <w:rFonts w:ascii="Calibri" w:eastAsia="Times New Roman" w:hAnsi="Calibri" w:cs="Calibri"/>
                <w:b/>
                <w:bCs/>
                <w:color w:val="000000"/>
                <w:sz w:val="22"/>
                <w:lang w:eastAsia="cs-CZ"/>
              </w:rPr>
              <w:t>poptávka</w:t>
            </w:r>
          </w:p>
        </w:tc>
        <w:tc>
          <w:tcPr>
            <w:tcW w:w="1134" w:type="dxa"/>
            <w:tcBorders>
              <w:top w:val="nil"/>
              <w:left w:val="nil"/>
              <w:bottom w:val="single" w:sz="4" w:space="0" w:color="auto"/>
              <w:right w:val="single" w:sz="4" w:space="0" w:color="auto"/>
            </w:tcBorders>
            <w:shd w:val="clear" w:color="auto" w:fill="auto"/>
            <w:noWrap/>
            <w:vAlign w:val="bottom"/>
            <w:hideMark/>
          </w:tcPr>
          <w:p w:rsidR="006732A5" w:rsidRPr="007C5D2E" w:rsidRDefault="006732A5" w:rsidP="006732A5">
            <w:pPr>
              <w:spacing w:before="0" w:after="0" w:line="360" w:lineRule="auto"/>
              <w:jc w:val="left"/>
              <w:rPr>
                <w:rFonts w:ascii="Calibri" w:eastAsia="Times New Roman" w:hAnsi="Calibri" w:cs="Calibri"/>
                <w:b/>
                <w:bCs/>
                <w:color w:val="000000"/>
                <w:sz w:val="22"/>
                <w:lang w:eastAsia="cs-CZ"/>
              </w:rPr>
            </w:pPr>
            <w:r w:rsidRPr="007C5D2E">
              <w:rPr>
                <w:rFonts w:ascii="Calibri" w:eastAsia="Times New Roman" w:hAnsi="Calibri" w:cs="Calibri"/>
                <w:b/>
                <w:bCs/>
                <w:color w:val="000000"/>
                <w:sz w:val="22"/>
                <w:lang w:eastAsia="cs-CZ"/>
              </w:rPr>
              <w:t>nabídka</w:t>
            </w:r>
          </w:p>
        </w:tc>
        <w:tc>
          <w:tcPr>
            <w:tcW w:w="998" w:type="dxa"/>
            <w:tcBorders>
              <w:top w:val="nil"/>
              <w:left w:val="nil"/>
              <w:bottom w:val="single" w:sz="4" w:space="0" w:color="auto"/>
              <w:right w:val="single" w:sz="4" w:space="0" w:color="auto"/>
            </w:tcBorders>
            <w:shd w:val="clear" w:color="auto" w:fill="auto"/>
            <w:vAlign w:val="bottom"/>
            <w:hideMark/>
          </w:tcPr>
          <w:p w:rsidR="006732A5" w:rsidRPr="007C5D2E" w:rsidRDefault="006732A5" w:rsidP="006732A5">
            <w:pPr>
              <w:spacing w:before="0" w:after="0" w:line="360" w:lineRule="auto"/>
              <w:jc w:val="left"/>
              <w:rPr>
                <w:rFonts w:ascii="Calibri" w:eastAsia="Times New Roman" w:hAnsi="Calibri" w:cs="Calibri"/>
                <w:b/>
                <w:bCs/>
                <w:color w:val="000000"/>
                <w:sz w:val="22"/>
                <w:lang w:eastAsia="cs-CZ"/>
              </w:rPr>
            </w:pPr>
            <w:r w:rsidRPr="007C5D2E">
              <w:rPr>
                <w:rFonts w:ascii="Calibri" w:eastAsia="Times New Roman" w:hAnsi="Calibri" w:cs="Calibri"/>
                <w:b/>
                <w:bCs/>
                <w:color w:val="000000"/>
                <w:sz w:val="22"/>
                <w:lang w:eastAsia="cs-CZ"/>
              </w:rPr>
              <w:t>nabídka - poptávka</w:t>
            </w:r>
          </w:p>
        </w:tc>
        <w:tc>
          <w:tcPr>
            <w:tcW w:w="1129" w:type="dxa"/>
            <w:tcBorders>
              <w:top w:val="nil"/>
              <w:left w:val="nil"/>
              <w:bottom w:val="single" w:sz="4" w:space="0" w:color="auto"/>
              <w:right w:val="single" w:sz="4" w:space="0" w:color="auto"/>
            </w:tcBorders>
            <w:shd w:val="clear" w:color="auto" w:fill="auto"/>
            <w:noWrap/>
            <w:vAlign w:val="bottom"/>
            <w:hideMark/>
          </w:tcPr>
          <w:p w:rsidR="006732A5" w:rsidRPr="007C5D2E" w:rsidRDefault="006732A5" w:rsidP="006732A5">
            <w:pPr>
              <w:spacing w:before="0" w:after="0" w:line="360" w:lineRule="auto"/>
              <w:jc w:val="left"/>
              <w:rPr>
                <w:rFonts w:ascii="Calibri" w:eastAsia="Times New Roman" w:hAnsi="Calibri" w:cs="Calibri"/>
                <w:b/>
                <w:bCs/>
                <w:color w:val="000000"/>
                <w:sz w:val="22"/>
                <w:lang w:eastAsia="cs-CZ"/>
              </w:rPr>
            </w:pPr>
            <w:r w:rsidRPr="007C5D2E">
              <w:rPr>
                <w:rFonts w:ascii="Calibri" w:eastAsia="Times New Roman" w:hAnsi="Calibri" w:cs="Calibri"/>
                <w:b/>
                <w:bCs/>
                <w:color w:val="000000"/>
                <w:sz w:val="22"/>
                <w:lang w:eastAsia="cs-CZ"/>
              </w:rPr>
              <w:t>poptávka</w:t>
            </w:r>
          </w:p>
        </w:tc>
        <w:tc>
          <w:tcPr>
            <w:tcW w:w="1052" w:type="dxa"/>
            <w:tcBorders>
              <w:top w:val="nil"/>
              <w:left w:val="nil"/>
              <w:bottom w:val="single" w:sz="4" w:space="0" w:color="auto"/>
              <w:right w:val="single" w:sz="4" w:space="0" w:color="auto"/>
            </w:tcBorders>
            <w:shd w:val="clear" w:color="auto" w:fill="auto"/>
            <w:noWrap/>
            <w:vAlign w:val="bottom"/>
            <w:hideMark/>
          </w:tcPr>
          <w:p w:rsidR="006732A5" w:rsidRPr="007C5D2E" w:rsidRDefault="006732A5" w:rsidP="006732A5">
            <w:pPr>
              <w:spacing w:before="0" w:after="0" w:line="360" w:lineRule="auto"/>
              <w:jc w:val="left"/>
              <w:rPr>
                <w:rFonts w:ascii="Calibri" w:eastAsia="Times New Roman" w:hAnsi="Calibri" w:cs="Calibri"/>
                <w:b/>
                <w:bCs/>
                <w:color w:val="000000"/>
                <w:sz w:val="22"/>
                <w:lang w:eastAsia="cs-CZ"/>
              </w:rPr>
            </w:pPr>
            <w:r w:rsidRPr="007C5D2E">
              <w:rPr>
                <w:rFonts w:ascii="Calibri" w:eastAsia="Times New Roman" w:hAnsi="Calibri" w:cs="Calibri"/>
                <w:b/>
                <w:bCs/>
                <w:color w:val="000000"/>
                <w:sz w:val="22"/>
                <w:lang w:eastAsia="cs-CZ"/>
              </w:rPr>
              <w:t>nabídka</w:t>
            </w:r>
          </w:p>
        </w:tc>
        <w:tc>
          <w:tcPr>
            <w:tcW w:w="998" w:type="dxa"/>
            <w:tcBorders>
              <w:top w:val="nil"/>
              <w:left w:val="nil"/>
              <w:bottom w:val="single" w:sz="4" w:space="0" w:color="auto"/>
              <w:right w:val="single" w:sz="4" w:space="0" w:color="auto"/>
            </w:tcBorders>
            <w:shd w:val="clear" w:color="auto" w:fill="auto"/>
            <w:vAlign w:val="bottom"/>
            <w:hideMark/>
          </w:tcPr>
          <w:p w:rsidR="006732A5" w:rsidRPr="007C5D2E" w:rsidRDefault="006732A5" w:rsidP="006732A5">
            <w:pPr>
              <w:spacing w:before="0" w:after="0" w:line="360" w:lineRule="auto"/>
              <w:jc w:val="left"/>
              <w:rPr>
                <w:rFonts w:ascii="Calibri" w:eastAsia="Times New Roman" w:hAnsi="Calibri" w:cs="Calibri"/>
                <w:b/>
                <w:bCs/>
                <w:color w:val="000000"/>
                <w:sz w:val="22"/>
                <w:lang w:eastAsia="cs-CZ"/>
              </w:rPr>
            </w:pPr>
            <w:r w:rsidRPr="007C5D2E">
              <w:rPr>
                <w:rFonts w:ascii="Calibri" w:eastAsia="Times New Roman" w:hAnsi="Calibri" w:cs="Calibri"/>
                <w:b/>
                <w:bCs/>
                <w:color w:val="000000"/>
                <w:sz w:val="22"/>
                <w:lang w:eastAsia="cs-CZ"/>
              </w:rPr>
              <w:t>nabídka - poptávka</w:t>
            </w:r>
          </w:p>
        </w:tc>
      </w:tr>
      <w:tr w:rsidR="006732A5" w:rsidRPr="007C5D2E" w:rsidTr="006732A5">
        <w:trPr>
          <w:trHeight w:val="300"/>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rsidR="006732A5" w:rsidRPr="007C5D2E" w:rsidRDefault="006732A5" w:rsidP="006732A5">
            <w:pPr>
              <w:spacing w:before="0" w:after="0" w:line="360" w:lineRule="auto"/>
              <w:jc w:val="center"/>
              <w:rPr>
                <w:rFonts w:ascii="Calibri" w:eastAsia="Times New Roman" w:hAnsi="Calibri" w:cs="Calibri"/>
                <w:b/>
                <w:bCs/>
                <w:color w:val="000000"/>
                <w:sz w:val="22"/>
                <w:lang w:eastAsia="cs-CZ"/>
              </w:rPr>
            </w:pPr>
            <w:r w:rsidRPr="007C5D2E">
              <w:rPr>
                <w:rFonts w:ascii="Calibri" w:eastAsia="Times New Roman" w:hAnsi="Calibri" w:cs="Calibri"/>
                <w:b/>
                <w:bCs/>
                <w:color w:val="000000"/>
                <w:sz w:val="22"/>
                <w:lang w:eastAsia="cs-CZ"/>
              </w:rPr>
              <w:t>1</w:t>
            </w:r>
          </w:p>
        </w:tc>
        <w:tc>
          <w:tcPr>
            <w:tcW w:w="1963" w:type="dxa"/>
            <w:tcBorders>
              <w:top w:val="nil"/>
              <w:left w:val="nil"/>
              <w:bottom w:val="single" w:sz="4" w:space="0" w:color="auto"/>
              <w:right w:val="single" w:sz="4" w:space="0" w:color="auto"/>
            </w:tcBorders>
            <w:shd w:val="clear" w:color="auto" w:fill="auto"/>
            <w:noWrap/>
            <w:vAlign w:val="bottom"/>
            <w:hideMark/>
          </w:tcPr>
          <w:p w:rsidR="006732A5" w:rsidRPr="007C5D2E" w:rsidRDefault="006732A5" w:rsidP="006732A5">
            <w:pPr>
              <w:spacing w:before="0" w:after="0" w:line="360" w:lineRule="auto"/>
              <w:jc w:val="left"/>
              <w:rPr>
                <w:rFonts w:ascii="Calibri" w:eastAsia="Times New Roman" w:hAnsi="Calibri" w:cs="Calibri"/>
                <w:b/>
                <w:bCs/>
                <w:color w:val="000000"/>
                <w:sz w:val="22"/>
                <w:lang w:eastAsia="cs-CZ"/>
              </w:rPr>
            </w:pPr>
            <w:r w:rsidRPr="007C5D2E">
              <w:rPr>
                <w:rFonts w:ascii="Calibri" w:eastAsia="Times New Roman" w:hAnsi="Calibri" w:cs="Calibri"/>
                <w:b/>
                <w:bCs/>
                <w:color w:val="000000"/>
                <w:sz w:val="22"/>
                <w:lang w:eastAsia="cs-CZ"/>
              </w:rPr>
              <w:t>zpět k normálu</w:t>
            </w:r>
          </w:p>
        </w:tc>
        <w:tc>
          <w:tcPr>
            <w:tcW w:w="1134" w:type="dxa"/>
            <w:tcBorders>
              <w:top w:val="nil"/>
              <w:left w:val="nil"/>
              <w:bottom w:val="single" w:sz="4" w:space="0" w:color="auto"/>
              <w:right w:val="single" w:sz="4" w:space="0" w:color="auto"/>
            </w:tcBorders>
            <w:shd w:val="clear" w:color="auto" w:fill="auto"/>
            <w:noWrap/>
            <w:vAlign w:val="center"/>
            <w:hideMark/>
          </w:tcPr>
          <w:p w:rsidR="006732A5" w:rsidRPr="007C5D2E" w:rsidRDefault="006732A5" w:rsidP="006732A5">
            <w:pPr>
              <w:spacing w:before="0" w:after="0" w:line="360" w:lineRule="auto"/>
              <w:jc w:val="center"/>
              <w:rPr>
                <w:rFonts w:ascii="Calibri" w:eastAsia="Times New Roman" w:hAnsi="Calibri" w:cs="Calibri"/>
                <w:color w:val="000000"/>
                <w:sz w:val="22"/>
                <w:lang w:eastAsia="cs-CZ"/>
              </w:rPr>
            </w:pPr>
            <w:r w:rsidRPr="007C5D2E">
              <w:rPr>
                <w:rFonts w:ascii="Calibri" w:eastAsia="Times New Roman" w:hAnsi="Calibri" w:cs="Calibri"/>
                <w:color w:val="000000"/>
                <w:sz w:val="22"/>
                <w:lang w:eastAsia="cs-CZ"/>
              </w:rPr>
              <w:t>4 852 700</w:t>
            </w:r>
          </w:p>
        </w:tc>
        <w:tc>
          <w:tcPr>
            <w:tcW w:w="1134" w:type="dxa"/>
            <w:tcBorders>
              <w:top w:val="nil"/>
              <w:left w:val="nil"/>
              <w:bottom w:val="single" w:sz="4" w:space="0" w:color="auto"/>
              <w:right w:val="single" w:sz="4" w:space="0" w:color="auto"/>
            </w:tcBorders>
            <w:shd w:val="clear" w:color="auto" w:fill="auto"/>
            <w:noWrap/>
            <w:vAlign w:val="center"/>
            <w:hideMark/>
          </w:tcPr>
          <w:p w:rsidR="006732A5" w:rsidRPr="007C5D2E" w:rsidRDefault="006732A5" w:rsidP="006732A5">
            <w:pPr>
              <w:spacing w:before="0" w:after="0" w:line="360" w:lineRule="auto"/>
              <w:jc w:val="center"/>
              <w:rPr>
                <w:rFonts w:ascii="Calibri" w:eastAsia="Times New Roman" w:hAnsi="Calibri" w:cs="Calibri"/>
                <w:color w:val="000000"/>
                <w:sz w:val="22"/>
                <w:lang w:eastAsia="cs-CZ"/>
              </w:rPr>
            </w:pPr>
            <w:r w:rsidRPr="007C5D2E">
              <w:rPr>
                <w:rFonts w:ascii="Calibri" w:eastAsia="Times New Roman" w:hAnsi="Calibri" w:cs="Calibri"/>
                <w:color w:val="000000"/>
                <w:sz w:val="22"/>
                <w:lang w:eastAsia="cs-CZ"/>
              </w:rPr>
              <w:t>4 876 200</w:t>
            </w:r>
          </w:p>
        </w:tc>
        <w:tc>
          <w:tcPr>
            <w:tcW w:w="998" w:type="dxa"/>
            <w:tcBorders>
              <w:top w:val="nil"/>
              <w:left w:val="nil"/>
              <w:bottom w:val="single" w:sz="4" w:space="0" w:color="auto"/>
              <w:right w:val="single" w:sz="4" w:space="0" w:color="auto"/>
            </w:tcBorders>
            <w:shd w:val="clear" w:color="auto" w:fill="auto"/>
            <w:noWrap/>
            <w:vAlign w:val="center"/>
            <w:hideMark/>
          </w:tcPr>
          <w:p w:rsidR="006732A5" w:rsidRPr="007C5D2E" w:rsidRDefault="006732A5" w:rsidP="006732A5">
            <w:pPr>
              <w:spacing w:before="0" w:after="0" w:line="360" w:lineRule="auto"/>
              <w:jc w:val="center"/>
              <w:rPr>
                <w:rFonts w:ascii="Calibri" w:eastAsia="Times New Roman" w:hAnsi="Calibri" w:cs="Calibri"/>
                <w:color w:val="000000"/>
                <w:sz w:val="22"/>
                <w:lang w:eastAsia="cs-CZ"/>
              </w:rPr>
            </w:pPr>
            <w:r w:rsidRPr="007C5D2E">
              <w:rPr>
                <w:rFonts w:ascii="Calibri" w:eastAsia="Times New Roman" w:hAnsi="Calibri" w:cs="Calibri"/>
                <w:color w:val="000000"/>
                <w:sz w:val="22"/>
                <w:lang w:eastAsia="cs-CZ"/>
              </w:rPr>
              <w:t>23 500</w:t>
            </w:r>
          </w:p>
        </w:tc>
        <w:tc>
          <w:tcPr>
            <w:tcW w:w="1129" w:type="dxa"/>
            <w:tcBorders>
              <w:top w:val="nil"/>
              <w:left w:val="nil"/>
              <w:bottom w:val="single" w:sz="4" w:space="0" w:color="auto"/>
              <w:right w:val="single" w:sz="4" w:space="0" w:color="auto"/>
            </w:tcBorders>
            <w:shd w:val="clear" w:color="auto" w:fill="auto"/>
            <w:noWrap/>
            <w:vAlign w:val="center"/>
            <w:hideMark/>
          </w:tcPr>
          <w:p w:rsidR="006732A5" w:rsidRPr="007C5D2E" w:rsidRDefault="006732A5" w:rsidP="006732A5">
            <w:pPr>
              <w:spacing w:before="0" w:after="0" w:line="360" w:lineRule="auto"/>
              <w:jc w:val="center"/>
              <w:rPr>
                <w:rFonts w:ascii="Calibri" w:eastAsia="Times New Roman" w:hAnsi="Calibri" w:cs="Calibri"/>
                <w:color w:val="000000"/>
                <w:sz w:val="22"/>
                <w:lang w:eastAsia="cs-CZ"/>
              </w:rPr>
            </w:pPr>
            <w:r w:rsidRPr="007C5D2E">
              <w:rPr>
                <w:rFonts w:ascii="Calibri" w:eastAsia="Times New Roman" w:hAnsi="Calibri" w:cs="Calibri"/>
                <w:color w:val="000000"/>
                <w:sz w:val="22"/>
                <w:lang w:eastAsia="cs-CZ"/>
              </w:rPr>
              <w:t>5 445 700</w:t>
            </w:r>
          </w:p>
        </w:tc>
        <w:tc>
          <w:tcPr>
            <w:tcW w:w="1052" w:type="dxa"/>
            <w:tcBorders>
              <w:top w:val="nil"/>
              <w:left w:val="nil"/>
              <w:bottom w:val="single" w:sz="4" w:space="0" w:color="auto"/>
              <w:right w:val="single" w:sz="4" w:space="0" w:color="auto"/>
            </w:tcBorders>
            <w:shd w:val="clear" w:color="auto" w:fill="auto"/>
            <w:noWrap/>
            <w:vAlign w:val="center"/>
            <w:hideMark/>
          </w:tcPr>
          <w:p w:rsidR="006732A5" w:rsidRPr="007C5D2E" w:rsidRDefault="006732A5" w:rsidP="006732A5">
            <w:pPr>
              <w:spacing w:before="0" w:after="0" w:line="360" w:lineRule="auto"/>
              <w:jc w:val="center"/>
              <w:rPr>
                <w:rFonts w:ascii="Calibri" w:eastAsia="Times New Roman" w:hAnsi="Calibri" w:cs="Calibri"/>
                <w:color w:val="000000"/>
                <w:sz w:val="22"/>
                <w:lang w:eastAsia="cs-CZ"/>
              </w:rPr>
            </w:pPr>
            <w:r w:rsidRPr="007C5D2E">
              <w:rPr>
                <w:rFonts w:ascii="Calibri" w:eastAsia="Times New Roman" w:hAnsi="Calibri" w:cs="Calibri"/>
                <w:color w:val="000000"/>
                <w:sz w:val="22"/>
                <w:lang w:eastAsia="cs-CZ"/>
              </w:rPr>
              <w:t>5 061 600</w:t>
            </w:r>
          </w:p>
        </w:tc>
        <w:tc>
          <w:tcPr>
            <w:tcW w:w="998" w:type="dxa"/>
            <w:tcBorders>
              <w:top w:val="nil"/>
              <w:left w:val="nil"/>
              <w:bottom w:val="single" w:sz="4" w:space="0" w:color="auto"/>
              <w:right w:val="single" w:sz="4" w:space="0" w:color="auto"/>
            </w:tcBorders>
            <w:shd w:val="clear" w:color="auto" w:fill="auto"/>
            <w:noWrap/>
            <w:vAlign w:val="center"/>
            <w:hideMark/>
          </w:tcPr>
          <w:p w:rsidR="006732A5" w:rsidRPr="007C5D2E" w:rsidRDefault="006732A5" w:rsidP="006732A5">
            <w:pPr>
              <w:spacing w:before="0" w:after="0" w:line="360" w:lineRule="auto"/>
              <w:jc w:val="center"/>
              <w:rPr>
                <w:rFonts w:ascii="Calibri" w:eastAsia="Times New Roman" w:hAnsi="Calibri" w:cs="Calibri"/>
                <w:color w:val="000000"/>
                <w:sz w:val="22"/>
                <w:lang w:eastAsia="cs-CZ"/>
              </w:rPr>
            </w:pPr>
            <w:r w:rsidRPr="007C5D2E">
              <w:rPr>
                <w:rFonts w:ascii="Calibri" w:eastAsia="Times New Roman" w:hAnsi="Calibri" w:cs="Calibri"/>
                <w:color w:val="000000"/>
                <w:sz w:val="22"/>
                <w:lang w:eastAsia="cs-CZ"/>
              </w:rPr>
              <w:t>-384 100</w:t>
            </w:r>
          </w:p>
        </w:tc>
      </w:tr>
      <w:tr w:rsidR="006732A5" w:rsidRPr="007C5D2E" w:rsidTr="006732A5">
        <w:trPr>
          <w:trHeight w:val="300"/>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rsidR="006732A5" w:rsidRPr="007C5D2E" w:rsidRDefault="006732A5" w:rsidP="006732A5">
            <w:pPr>
              <w:spacing w:before="0" w:after="0" w:line="360" w:lineRule="auto"/>
              <w:jc w:val="center"/>
              <w:rPr>
                <w:rFonts w:ascii="Calibri" w:eastAsia="Times New Roman" w:hAnsi="Calibri" w:cs="Calibri"/>
                <w:b/>
                <w:bCs/>
                <w:color w:val="000000"/>
                <w:sz w:val="22"/>
                <w:lang w:eastAsia="cs-CZ"/>
              </w:rPr>
            </w:pPr>
            <w:r w:rsidRPr="007C5D2E">
              <w:rPr>
                <w:rFonts w:ascii="Calibri" w:eastAsia="Times New Roman" w:hAnsi="Calibri" w:cs="Calibri"/>
                <w:b/>
                <w:bCs/>
                <w:color w:val="000000"/>
                <w:sz w:val="22"/>
                <w:lang w:eastAsia="cs-CZ"/>
              </w:rPr>
              <w:t>2</w:t>
            </w:r>
          </w:p>
        </w:tc>
        <w:tc>
          <w:tcPr>
            <w:tcW w:w="1963" w:type="dxa"/>
            <w:tcBorders>
              <w:top w:val="nil"/>
              <w:left w:val="nil"/>
              <w:bottom w:val="single" w:sz="4" w:space="0" w:color="auto"/>
              <w:right w:val="single" w:sz="4" w:space="0" w:color="auto"/>
            </w:tcBorders>
            <w:shd w:val="clear" w:color="auto" w:fill="auto"/>
            <w:noWrap/>
            <w:vAlign w:val="bottom"/>
            <w:hideMark/>
          </w:tcPr>
          <w:p w:rsidR="006732A5" w:rsidRPr="007C5D2E" w:rsidRDefault="006732A5" w:rsidP="006732A5">
            <w:pPr>
              <w:spacing w:before="0" w:after="0" w:line="360" w:lineRule="auto"/>
              <w:jc w:val="left"/>
              <w:rPr>
                <w:rFonts w:ascii="Calibri" w:eastAsia="Times New Roman" w:hAnsi="Calibri" w:cs="Calibri"/>
                <w:b/>
                <w:bCs/>
                <w:color w:val="000000"/>
                <w:sz w:val="22"/>
                <w:lang w:eastAsia="cs-CZ"/>
              </w:rPr>
            </w:pPr>
            <w:r w:rsidRPr="007C5D2E">
              <w:rPr>
                <w:rFonts w:ascii="Calibri" w:eastAsia="Times New Roman" w:hAnsi="Calibri" w:cs="Calibri"/>
                <w:b/>
                <w:bCs/>
                <w:color w:val="000000"/>
                <w:sz w:val="22"/>
                <w:lang w:eastAsia="cs-CZ"/>
              </w:rPr>
              <w:t>investice v budoucnu</w:t>
            </w:r>
          </w:p>
        </w:tc>
        <w:tc>
          <w:tcPr>
            <w:tcW w:w="1134" w:type="dxa"/>
            <w:tcBorders>
              <w:top w:val="nil"/>
              <w:left w:val="nil"/>
              <w:bottom w:val="single" w:sz="4" w:space="0" w:color="auto"/>
              <w:right w:val="single" w:sz="4" w:space="0" w:color="auto"/>
            </w:tcBorders>
            <w:shd w:val="clear" w:color="auto" w:fill="auto"/>
            <w:noWrap/>
            <w:vAlign w:val="center"/>
            <w:hideMark/>
          </w:tcPr>
          <w:p w:rsidR="006732A5" w:rsidRPr="007C5D2E" w:rsidRDefault="006732A5" w:rsidP="006732A5">
            <w:pPr>
              <w:spacing w:before="0" w:after="0" w:line="360" w:lineRule="auto"/>
              <w:jc w:val="center"/>
              <w:rPr>
                <w:rFonts w:ascii="Calibri" w:eastAsia="Times New Roman" w:hAnsi="Calibri" w:cs="Calibri"/>
                <w:color w:val="000000"/>
                <w:sz w:val="22"/>
                <w:lang w:eastAsia="cs-CZ"/>
              </w:rPr>
            </w:pPr>
            <w:r w:rsidRPr="007C5D2E">
              <w:rPr>
                <w:rFonts w:ascii="Calibri" w:eastAsia="Times New Roman" w:hAnsi="Calibri" w:cs="Calibri"/>
                <w:color w:val="000000"/>
                <w:sz w:val="22"/>
                <w:lang w:eastAsia="cs-CZ"/>
              </w:rPr>
              <w:t>4 870 800</w:t>
            </w:r>
          </w:p>
        </w:tc>
        <w:tc>
          <w:tcPr>
            <w:tcW w:w="1134" w:type="dxa"/>
            <w:tcBorders>
              <w:top w:val="nil"/>
              <w:left w:val="nil"/>
              <w:bottom w:val="single" w:sz="4" w:space="0" w:color="auto"/>
              <w:right w:val="single" w:sz="4" w:space="0" w:color="auto"/>
            </w:tcBorders>
            <w:shd w:val="clear" w:color="auto" w:fill="auto"/>
            <w:noWrap/>
            <w:vAlign w:val="center"/>
            <w:hideMark/>
          </w:tcPr>
          <w:p w:rsidR="006732A5" w:rsidRPr="007C5D2E" w:rsidRDefault="006732A5" w:rsidP="006732A5">
            <w:pPr>
              <w:spacing w:before="0" w:after="0" w:line="360" w:lineRule="auto"/>
              <w:jc w:val="center"/>
              <w:rPr>
                <w:rFonts w:ascii="Calibri" w:eastAsia="Times New Roman" w:hAnsi="Calibri" w:cs="Calibri"/>
                <w:color w:val="000000"/>
                <w:sz w:val="22"/>
                <w:lang w:eastAsia="cs-CZ"/>
              </w:rPr>
            </w:pPr>
            <w:r w:rsidRPr="007C5D2E">
              <w:rPr>
                <w:rFonts w:ascii="Calibri" w:eastAsia="Times New Roman" w:hAnsi="Calibri" w:cs="Calibri"/>
                <w:color w:val="000000"/>
                <w:sz w:val="22"/>
                <w:lang w:eastAsia="cs-CZ"/>
              </w:rPr>
              <w:t>4 876 200</w:t>
            </w:r>
          </w:p>
        </w:tc>
        <w:tc>
          <w:tcPr>
            <w:tcW w:w="998" w:type="dxa"/>
            <w:tcBorders>
              <w:top w:val="nil"/>
              <w:left w:val="nil"/>
              <w:bottom w:val="single" w:sz="4" w:space="0" w:color="auto"/>
              <w:right w:val="single" w:sz="4" w:space="0" w:color="auto"/>
            </w:tcBorders>
            <w:shd w:val="clear" w:color="auto" w:fill="auto"/>
            <w:noWrap/>
            <w:vAlign w:val="center"/>
            <w:hideMark/>
          </w:tcPr>
          <w:p w:rsidR="006732A5" w:rsidRPr="007C5D2E" w:rsidRDefault="006732A5" w:rsidP="006732A5">
            <w:pPr>
              <w:spacing w:before="0" w:after="0" w:line="360" w:lineRule="auto"/>
              <w:jc w:val="center"/>
              <w:rPr>
                <w:rFonts w:ascii="Calibri" w:eastAsia="Times New Roman" w:hAnsi="Calibri" w:cs="Calibri"/>
                <w:color w:val="000000"/>
                <w:sz w:val="22"/>
                <w:lang w:eastAsia="cs-CZ"/>
              </w:rPr>
            </w:pPr>
            <w:r w:rsidRPr="007C5D2E">
              <w:rPr>
                <w:rFonts w:ascii="Calibri" w:eastAsia="Times New Roman" w:hAnsi="Calibri" w:cs="Calibri"/>
                <w:color w:val="000000"/>
                <w:sz w:val="22"/>
                <w:lang w:eastAsia="cs-CZ"/>
              </w:rPr>
              <w:t>5 400</w:t>
            </w:r>
          </w:p>
        </w:tc>
        <w:tc>
          <w:tcPr>
            <w:tcW w:w="1129" w:type="dxa"/>
            <w:tcBorders>
              <w:top w:val="nil"/>
              <w:left w:val="nil"/>
              <w:bottom w:val="single" w:sz="4" w:space="0" w:color="auto"/>
              <w:right w:val="single" w:sz="4" w:space="0" w:color="auto"/>
            </w:tcBorders>
            <w:shd w:val="clear" w:color="auto" w:fill="auto"/>
            <w:noWrap/>
            <w:vAlign w:val="center"/>
            <w:hideMark/>
          </w:tcPr>
          <w:p w:rsidR="006732A5" w:rsidRPr="007C5D2E" w:rsidRDefault="006732A5" w:rsidP="006732A5">
            <w:pPr>
              <w:spacing w:before="0" w:after="0" w:line="360" w:lineRule="auto"/>
              <w:jc w:val="center"/>
              <w:rPr>
                <w:rFonts w:ascii="Calibri" w:eastAsia="Times New Roman" w:hAnsi="Calibri" w:cs="Calibri"/>
                <w:color w:val="000000"/>
                <w:sz w:val="22"/>
                <w:lang w:eastAsia="cs-CZ"/>
              </w:rPr>
            </w:pPr>
            <w:r w:rsidRPr="007C5D2E">
              <w:rPr>
                <w:rFonts w:ascii="Calibri" w:eastAsia="Times New Roman" w:hAnsi="Calibri" w:cs="Calibri"/>
                <w:color w:val="000000"/>
                <w:sz w:val="22"/>
                <w:lang w:eastAsia="cs-CZ"/>
              </w:rPr>
              <w:t>5 646 700</w:t>
            </w:r>
          </w:p>
        </w:tc>
        <w:tc>
          <w:tcPr>
            <w:tcW w:w="1052" w:type="dxa"/>
            <w:tcBorders>
              <w:top w:val="nil"/>
              <w:left w:val="nil"/>
              <w:bottom w:val="single" w:sz="4" w:space="0" w:color="auto"/>
              <w:right w:val="single" w:sz="4" w:space="0" w:color="auto"/>
            </w:tcBorders>
            <w:shd w:val="clear" w:color="auto" w:fill="auto"/>
            <w:noWrap/>
            <w:vAlign w:val="center"/>
            <w:hideMark/>
          </w:tcPr>
          <w:p w:rsidR="006732A5" w:rsidRPr="007C5D2E" w:rsidRDefault="006732A5" w:rsidP="006732A5">
            <w:pPr>
              <w:spacing w:before="0" w:after="0" w:line="360" w:lineRule="auto"/>
              <w:jc w:val="center"/>
              <w:rPr>
                <w:rFonts w:ascii="Calibri" w:eastAsia="Times New Roman" w:hAnsi="Calibri" w:cs="Calibri"/>
                <w:color w:val="000000"/>
                <w:sz w:val="22"/>
                <w:lang w:eastAsia="cs-CZ"/>
              </w:rPr>
            </w:pPr>
            <w:r w:rsidRPr="007C5D2E">
              <w:rPr>
                <w:rFonts w:ascii="Calibri" w:eastAsia="Times New Roman" w:hAnsi="Calibri" w:cs="Calibri"/>
                <w:color w:val="000000"/>
                <w:sz w:val="22"/>
                <w:lang w:eastAsia="cs-CZ"/>
              </w:rPr>
              <w:t>5 067 200</w:t>
            </w:r>
          </w:p>
        </w:tc>
        <w:tc>
          <w:tcPr>
            <w:tcW w:w="998" w:type="dxa"/>
            <w:tcBorders>
              <w:top w:val="nil"/>
              <w:left w:val="nil"/>
              <w:bottom w:val="single" w:sz="4" w:space="0" w:color="auto"/>
              <w:right w:val="single" w:sz="4" w:space="0" w:color="auto"/>
            </w:tcBorders>
            <w:shd w:val="clear" w:color="auto" w:fill="auto"/>
            <w:noWrap/>
            <w:vAlign w:val="center"/>
            <w:hideMark/>
          </w:tcPr>
          <w:p w:rsidR="006732A5" w:rsidRPr="007C5D2E" w:rsidRDefault="006732A5" w:rsidP="006732A5">
            <w:pPr>
              <w:spacing w:before="0" w:after="0" w:line="360" w:lineRule="auto"/>
              <w:jc w:val="center"/>
              <w:rPr>
                <w:rFonts w:ascii="Calibri" w:eastAsia="Times New Roman" w:hAnsi="Calibri" w:cs="Calibri"/>
                <w:color w:val="000000"/>
                <w:sz w:val="22"/>
                <w:lang w:eastAsia="cs-CZ"/>
              </w:rPr>
            </w:pPr>
            <w:r w:rsidRPr="007C5D2E">
              <w:rPr>
                <w:rFonts w:ascii="Calibri" w:eastAsia="Times New Roman" w:hAnsi="Calibri" w:cs="Calibri"/>
                <w:color w:val="000000"/>
                <w:sz w:val="22"/>
                <w:lang w:eastAsia="cs-CZ"/>
              </w:rPr>
              <w:t>-579 500</w:t>
            </w:r>
          </w:p>
        </w:tc>
      </w:tr>
      <w:tr w:rsidR="006732A5" w:rsidRPr="007C5D2E" w:rsidTr="006732A5">
        <w:trPr>
          <w:trHeight w:val="600"/>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rsidR="006732A5" w:rsidRPr="007C5D2E" w:rsidRDefault="006732A5" w:rsidP="006732A5">
            <w:pPr>
              <w:spacing w:before="0" w:after="0" w:line="360" w:lineRule="auto"/>
              <w:jc w:val="center"/>
              <w:rPr>
                <w:rFonts w:ascii="Calibri" w:eastAsia="Times New Roman" w:hAnsi="Calibri" w:cs="Calibri"/>
                <w:b/>
                <w:bCs/>
                <w:color w:val="000000"/>
                <w:sz w:val="22"/>
                <w:lang w:eastAsia="cs-CZ"/>
              </w:rPr>
            </w:pPr>
            <w:r w:rsidRPr="007C5D2E">
              <w:rPr>
                <w:rFonts w:ascii="Calibri" w:eastAsia="Times New Roman" w:hAnsi="Calibri" w:cs="Calibri"/>
                <w:b/>
                <w:bCs/>
                <w:color w:val="000000"/>
                <w:sz w:val="22"/>
                <w:lang w:eastAsia="cs-CZ"/>
              </w:rPr>
              <w:t>3</w:t>
            </w:r>
          </w:p>
        </w:tc>
        <w:tc>
          <w:tcPr>
            <w:tcW w:w="1963" w:type="dxa"/>
            <w:tcBorders>
              <w:top w:val="nil"/>
              <w:left w:val="nil"/>
              <w:bottom w:val="single" w:sz="4" w:space="0" w:color="auto"/>
              <w:right w:val="single" w:sz="4" w:space="0" w:color="auto"/>
            </w:tcBorders>
            <w:shd w:val="clear" w:color="auto" w:fill="auto"/>
            <w:vAlign w:val="bottom"/>
            <w:hideMark/>
          </w:tcPr>
          <w:p w:rsidR="006732A5" w:rsidRPr="007C5D2E" w:rsidRDefault="006732A5" w:rsidP="006732A5">
            <w:pPr>
              <w:spacing w:before="0" w:after="0" w:line="360" w:lineRule="auto"/>
              <w:jc w:val="left"/>
              <w:rPr>
                <w:rFonts w:ascii="Calibri" w:eastAsia="Times New Roman" w:hAnsi="Calibri" w:cs="Calibri"/>
                <w:b/>
                <w:bCs/>
                <w:color w:val="000000"/>
                <w:sz w:val="22"/>
                <w:lang w:eastAsia="cs-CZ"/>
              </w:rPr>
            </w:pPr>
            <w:r w:rsidRPr="007C5D2E">
              <w:rPr>
                <w:rFonts w:ascii="Calibri" w:eastAsia="Times New Roman" w:hAnsi="Calibri" w:cs="Calibri"/>
                <w:b/>
                <w:bCs/>
                <w:color w:val="000000"/>
                <w:sz w:val="22"/>
                <w:lang w:eastAsia="cs-CZ"/>
              </w:rPr>
              <w:t>posun k vysoce znalostně intensivní ekonomice</w:t>
            </w:r>
          </w:p>
        </w:tc>
        <w:tc>
          <w:tcPr>
            <w:tcW w:w="1134" w:type="dxa"/>
            <w:tcBorders>
              <w:top w:val="nil"/>
              <w:left w:val="nil"/>
              <w:bottom w:val="single" w:sz="4" w:space="0" w:color="auto"/>
              <w:right w:val="single" w:sz="4" w:space="0" w:color="auto"/>
            </w:tcBorders>
            <w:shd w:val="clear" w:color="auto" w:fill="auto"/>
            <w:noWrap/>
            <w:vAlign w:val="center"/>
            <w:hideMark/>
          </w:tcPr>
          <w:p w:rsidR="006732A5" w:rsidRPr="007C5D2E" w:rsidRDefault="006732A5" w:rsidP="006732A5">
            <w:pPr>
              <w:spacing w:before="0" w:after="0" w:line="360" w:lineRule="auto"/>
              <w:jc w:val="center"/>
              <w:rPr>
                <w:rFonts w:ascii="Calibri" w:eastAsia="Times New Roman" w:hAnsi="Calibri" w:cs="Calibri"/>
                <w:color w:val="000000"/>
                <w:sz w:val="22"/>
                <w:lang w:eastAsia="cs-CZ"/>
              </w:rPr>
            </w:pPr>
            <w:r w:rsidRPr="007C5D2E">
              <w:rPr>
                <w:rFonts w:ascii="Calibri" w:eastAsia="Times New Roman" w:hAnsi="Calibri" w:cs="Calibri"/>
                <w:color w:val="000000"/>
                <w:sz w:val="22"/>
                <w:lang w:eastAsia="cs-CZ"/>
              </w:rPr>
              <w:t>4 899 900</w:t>
            </w:r>
          </w:p>
        </w:tc>
        <w:tc>
          <w:tcPr>
            <w:tcW w:w="1134" w:type="dxa"/>
            <w:tcBorders>
              <w:top w:val="nil"/>
              <w:left w:val="nil"/>
              <w:bottom w:val="single" w:sz="4" w:space="0" w:color="auto"/>
              <w:right w:val="single" w:sz="4" w:space="0" w:color="auto"/>
            </w:tcBorders>
            <w:shd w:val="clear" w:color="auto" w:fill="auto"/>
            <w:noWrap/>
            <w:vAlign w:val="center"/>
            <w:hideMark/>
          </w:tcPr>
          <w:p w:rsidR="006732A5" w:rsidRPr="007C5D2E" w:rsidRDefault="006732A5" w:rsidP="006732A5">
            <w:pPr>
              <w:spacing w:before="0" w:after="0" w:line="360" w:lineRule="auto"/>
              <w:jc w:val="center"/>
              <w:rPr>
                <w:rFonts w:ascii="Calibri" w:eastAsia="Times New Roman" w:hAnsi="Calibri" w:cs="Calibri"/>
                <w:color w:val="000000"/>
                <w:sz w:val="22"/>
                <w:lang w:eastAsia="cs-CZ"/>
              </w:rPr>
            </w:pPr>
            <w:r w:rsidRPr="007C5D2E">
              <w:rPr>
                <w:rFonts w:ascii="Calibri" w:eastAsia="Times New Roman" w:hAnsi="Calibri" w:cs="Calibri"/>
                <w:color w:val="000000"/>
                <w:sz w:val="22"/>
                <w:lang w:eastAsia="cs-CZ"/>
              </w:rPr>
              <w:t>4 876 200</w:t>
            </w:r>
          </w:p>
        </w:tc>
        <w:tc>
          <w:tcPr>
            <w:tcW w:w="998" w:type="dxa"/>
            <w:tcBorders>
              <w:top w:val="nil"/>
              <w:left w:val="nil"/>
              <w:bottom w:val="single" w:sz="4" w:space="0" w:color="auto"/>
              <w:right w:val="single" w:sz="4" w:space="0" w:color="auto"/>
            </w:tcBorders>
            <w:shd w:val="clear" w:color="auto" w:fill="auto"/>
            <w:noWrap/>
            <w:vAlign w:val="center"/>
            <w:hideMark/>
          </w:tcPr>
          <w:p w:rsidR="006732A5" w:rsidRPr="007C5D2E" w:rsidRDefault="006732A5" w:rsidP="006732A5">
            <w:pPr>
              <w:spacing w:before="0" w:after="0" w:line="360" w:lineRule="auto"/>
              <w:jc w:val="center"/>
              <w:rPr>
                <w:rFonts w:ascii="Calibri" w:eastAsia="Times New Roman" w:hAnsi="Calibri" w:cs="Calibri"/>
                <w:color w:val="000000"/>
                <w:sz w:val="22"/>
                <w:lang w:eastAsia="cs-CZ"/>
              </w:rPr>
            </w:pPr>
            <w:r w:rsidRPr="007C5D2E">
              <w:rPr>
                <w:rFonts w:ascii="Calibri" w:eastAsia="Times New Roman" w:hAnsi="Calibri" w:cs="Calibri"/>
                <w:color w:val="000000"/>
                <w:sz w:val="22"/>
                <w:lang w:eastAsia="cs-CZ"/>
              </w:rPr>
              <w:t>-23 700</w:t>
            </w:r>
          </w:p>
        </w:tc>
        <w:tc>
          <w:tcPr>
            <w:tcW w:w="1129" w:type="dxa"/>
            <w:tcBorders>
              <w:top w:val="nil"/>
              <w:left w:val="nil"/>
              <w:bottom w:val="single" w:sz="4" w:space="0" w:color="auto"/>
              <w:right w:val="single" w:sz="4" w:space="0" w:color="auto"/>
            </w:tcBorders>
            <w:shd w:val="clear" w:color="auto" w:fill="auto"/>
            <w:noWrap/>
            <w:vAlign w:val="center"/>
            <w:hideMark/>
          </w:tcPr>
          <w:p w:rsidR="006732A5" w:rsidRPr="007C5D2E" w:rsidRDefault="006732A5" w:rsidP="006732A5">
            <w:pPr>
              <w:spacing w:before="0" w:after="0" w:line="360" w:lineRule="auto"/>
              <w:jc w:val="center"/>
              <w:rPr>
                <w:rFonts w:ascii="Calibri" w:eastAsia="Times New Roman" w:hAnsi="Calibri" w:cs="Calibri"/>
                <w:color w:val="000000"/>
                <w:sz w:val="22"/>
                <w:lang w:eastAsia="cs-CZ"/>
              </w:rPr>
            </w:pPr>
            <w:r w:rsidRPr="007C5D2E">
              <w:rPr>
                <w:rFonts w:ascii="Calibri" w:eastAsia="Times New Roman" w:hAnsi="Calibri" w:cs="Calibri"/>
                <w:color w:val="000000"/>
                <w:sz w:val="22"/>
                <w:lang w:eastAsia="cs-CZ"/>
              </w:rPr>
              <w:t>5 927 700</w:t>
            </w:r>
          </w:p>
        </w:tc>
        <w:tc>
          <w:tcPr>
            <w:tcW w:w="1052" w:type="dxa"/>
            <w:tcBorders>
              <w:top w:val="nil"/>
              <w:left w:val="nil"/>
              <w:bottom w:val="single" w:sz="4" w:space="0" w:color="auto"/>
              <w:right w:val="single" w:sz="4" w:space="0" w:color="auto"/>
            </w:tcBorders>
            <w:shd w:val="clear" w:color="auto" w:fill="auto"/>
            <w:noWrap/>
            <w:vAlign w:val="center"/>
            <w:hideMark/>
          </w:tcPr>
          <w:p w:rsidR="006732A5" w:rsidRPr="007C5D2E" w:rsidRDefault="006732A5" w:rsidP="006732A5">
            <w:pPr>
              <w:spacing w:before="0" w:after="0" w:line="360" w:lineRule="auto"/>
              <w:jc w:val="center"/>
              <w:rPr>
                <w:rFonts w:ascii="Calibri" w:eastAsia="Times New Roman" w:hAnsi="Calibri" w:cs="Calibri"/>
                <w:color w:val="000000"/>
                <w:sz w:val="22"/>
                <w:lang w:eastAsia="cs-CZ"/>
              </w:rPr>
            </w:pPr>
            <w:r w:rsidRPr="007C5D2E">
              <w:rPr>
                <w:rFonts w:ascii="Calibri" w:eastAsia="Times New Roman" w:hAnsi="Calibri" w:cs="Calibri"/>
                <w:color w:val="000000"/>
                <w:sz w:val="22"/>
                <w:lang w:eastAsia="cs-CZ"/>
              </w:rPr>
              <w:t>5 258 500</w:t>
            </w:r>
          </w:p>
        </w:tc>
        <w:tc>
          <w:tcPr>
            <w:tcW w:w="998" w:type="dxa"/>
            <w:tcBorders>
              <w:top w:val="nil"/>
              <w:left w:val="nil"/>
              <w:bottom w:val="single" w:sz="4" w:space="0" w:color="auto"/>
              <w:right w:val="single" w:sz="4" w:space="0" w:color="auto"/>
            </w:tcBorders>
            <w:shd w:val="clear" w:color="auto" w:fill="auto"/>
            <w:noWrap/>
            <w:vAlign w:val="center"/>
            <w:hideMark/>
          </w:tcPr>
          <w:p w:rsidR="006732A5" w:rsidRPr="007C5D2E" w:rsidRDefault="006732A5" w:rsidP="006732A5">
            <w:pPr>
              <w:spacing w:before="0" w:after="0" w:line="360" w:lineRule="auto"/>
              <w:jc w:val="center"/>
              <w:rPr>
                <w:rFonts w:ascii="Calibri" w:eastAsia="Times New Roman" w:hAnsi="Calibri" w:cs="Calibri"/>
                <w:color w:val="000000"/>
                <w:sz w:val="22"/>
                <w:lang w:eastAsia="cs-CZ"/>
              </w:rPr>
            </w:pPr>
            <w:r w:rsidRPr="007C5D2E">
              <w:rPr>
                <w:rFonts w:ascii="Calibri" w:eastAsia="Times New Roman" w:hAnsi="Calibri" w:cs="Calibri"/>
                <w:color w:val="000000"/>
                <w:sz w:val="22"/>
                <w:lang w:eastAsia="cs-CZ"/>
              </w:rPr>
              <w:t>-669 200</w:t>
            </w:r>
          </w:p>
        </w:tc>
      </w:tr>
      <w:tr w:rsidR="006732A5" w:rsidRPr="007C5D2E" w:rsidTr="006732A5">
        <w:trPr>
          <w:trHeight w:val="300"/>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rsidR="006732A5" w:rsidRPr="007C5D2E" w:rsidRDefault="006732A5" w:rsidP="006732A5">
            <w:pPr>
              <w:spacing w:before="0" w:after="0" w:line="360" w:lineRule="auto"/>
              <w:jc w:val="center"/>
              <w:rPr>
                <w:rFonts w:ascii="Calibri" w:eastAsia="Times New Roman" w:hAnsi="Calibri" w:cs="Calibri"/>
                <w:b/>
                <w:bCs/>
                <w:color w:val="000000"/>
                <w:sz w:val="22"/>
                <w:lang w:eastAsia="cs-CZ"/>
              </w:rPr>
            </w:pPr>
            <w:r w:rsidRPr="007C5D2E">
              <w:rPr>
                <w:rFonts w:ascii="Calibri" w:eastAsia="Times New Roman" w:hAnsi="Calibri" w:cs="Calibri"/>
                <w:b/>
                <w:bCs/>
                <w:color w:val="000000"/>
                <w:sz w:val="22"/>
                <w:lang w:eastAsia="cs-CZ"/>
              </w:rPr>
              <w:t>4</w:t>
            </w:r>
          </w:p>
        </w:tc>
        <w:tc>
          <w:tcPr>
            <w:tcW w:w="1963" w:type="dxa"/>
            <w:tcBorders>
              <w:top w:val="nil"/>
              <w:left w:val="nil"/>
              <w:bottom w:val="single" w:sz="4" w:space="0" w:color="auto"/>
              <w:right w:val="single" w:sz="4" w:space="0" w:color="auto"/>
            </w:tcBorders>
            <w:shd w:val="clear" w:color="auto" w:fill="auto"/>
            <w:noWrap/>
            <w:vAlign w:val="bottom"/>
            <w:hideMark/>
          </w:tcPr>
          <w:p w:rsidR="006732A5" w:rsidRPr="007C5D2E" w:rsidRDefault="006732A5" w:rsidP="006732A5">
            <w:pPr>
              <w:spacing w:before="0" w:after="0" w:line="360" w:lineRule="auto"/>
              <w:jc w:val="left"/>
              <w:rPr>
                <w:rFonts w:ascii="Calibri" w:eastAsia="Times New Roman" w:hAnsi="Calibri" w:cs="Calibri"/>
                <w:b/>
                <w:bCs/>
                <w:color w:val="000000"/>
                <w:sz w:val="22"/>
                <w:lang w:eastAsia="cs-CZ"/>
              </w:rPr>
            </w:pPr>
            <w:r w:rsidRPr="007C5D2E">
              <w:rPr>
                <w:rFonts w:ascii="Calibri" w:eastAsia="Times New Roman" w:hAnsi="Calibri" w:cs="Calibri"/>
                <w:b/>
                <w:bCs/>
                <w:color w:val="000000"/>
                <w:sz w:val="22"/>
                <w:lang w:eastAsia="cs-CZ"/>
              </w:rPr>
              <w:t>rozvoj tradičních odvětví</w:t>
            </w:r>
          </w:p>
        </w:tc>
        <w:tc>
          <w:tcPr>
            <w:tcW w:w="1134" w:type="dxa"/>
            <w:tcBorders>
              <w:top w:val="nil"/>
              <w:left w:val="nil"/>
              <w:bottom w:val="single" w:sz="4" w:space="0" w:color="auto"/>
              <w:right w:val="single" w:sz="4" w:space="0" w:color="auto"/>
            </w:tcBorders>
            <w:shd w:val="clear" w:color="auto" w:fill="auto"/>
            <w:noWrap/>
            <w:vAlign w:val="center"/>
            <w:hideMark/>
          </w:tcPr>
          <w:p w:rsidR="006732A5" w:rsidRPr="007C5D2E" w:rsidRDefault="006732A5" w:rsidP="006732A5">
            <w:pPr>
              <w:spacing w:before="0" w:after="0" w:line="360" w:lineRule="auto"/>
              <w:jc w:val="center"/>
              <w:rPr>
                <w:rFonts w:ascii="Calibri" w:eastAsia="Times New Roman" w:hAnsi="Calibri" w:cs="Calibri"/>
                <w:color w:val="000000"/>
                <w:sz w:val="22"/>
                <w:lang w:eastAsia="cs-CZ"/>
              </w:rPr>
            </w:pPr>
            <w:r w:rsidRPr="007C5D2E">
              <w:rPr>
                <w:rFonts w:ascii="Calibri" w:eastAsia="Times New Roman" w:hAnsi="Calibri" w:cs="Calibri"/>
                <w:color w:val="000000"/>
                <w:sz w:val="22"/>
                <w:lang w:eastAsia="cs-CZ"/>
              </w:rPr>
              <w:t>4 873 200</w:t>
            </w:r>
          </w:p>
        </w:tc>
        <w:tc>
          <w:tcPr>
            <w:tcW w:w="1134" w:type="dxa"/>
            <w:tcBorders>
              <w:top w:val="nil"/>
              <w:left w:val="nil"/>
              <w:bottom w:val="single" w:sz="4" w:space="0" w:color="auto"/>
              <w:right w:val="single" w:sz="4" w:space="0" w:color="auto"/>
            </w:tcBorders>
            <w:shd w:val="clear" w:color="auto" w:fill="auto"/>
            <w:noWrap/>
            <w:vAlign w:val="center"/>
            <w:hideMark/>
          </w:tcPr>
          <w:p w:rsidR="006732A5" w:rsidRPr="007C5D2E" w:rsidRDefault="006732A5" w:rsidP="006732A5">
            <w:pPr>
              <w:spacing w:before="0" w:after="0" w:line="360" w:lineRule="auto"/>
              <w:jc w:val="center"/>
              <w:rPr>
                <w:rFonts w:ascii="Calibri" w:eastAsia="Times New Roman" w:hAnsi="Calibri" w:cs="Calibri"/>
                <w:color w:val="000000"/>
                <w:sz w:val="22"/>
                <w:lang w:eastAsia="cs-CZ"/>
              </w:rPr>
            </w:pPr>
            <w:r w:rsidRPr="007C5D2E">
              <w:rPr>
                <w:rFonts w:ascii="Calibri" w:eastAsia="Times New Roman" w:hAnsi="Calibri" w:cs="Calibri"/>
                <w:color w:val="000000"/>
                <w:sz w:val="22"/>
                <w:lang w:eastAsia="cs-CZ"/>
              </w:rPr>
              <w:t>4 876 200</w:t>
            </w:r>
          </w:p>
        </w:tc>
        <w:tc>
          <w:tcPr>
            <w:tcW w:w="998" w:type="dxa"/>
            <w:tcBorders>
              <w:top w:val="nil"/>
              <w:left w:val="nil"/>
              <w:bottom w:val="single" w:sz="4" w:space="0" w:color="auto"/>
              <w:right w:val="single" w:sz="4" w:space="0" w:color="auto"/>
            </w:tcBorders>
            <w:shd w:val="clear" w:color="auto" w:fill="auto"/>
            <w:noWrap/>
            <w:vAlign w:val="center"/>
            <w:hideMark/>
          </w:tcPr>
          <w:p w:rsidR="006732A5" w:rsidRPr="007C5D2E" w:rsidRDefault="006732A5" w:rsidP="006732A5">
            <w:pPr>
              <w:spacing w:before="0" w:after="0" w:line="360" w:lineRule="auto"/>
              <w:jc w:val="center"/>
              <w:rPr>
                <w:rFonts w:ascii="Calibri" w:eastAsia="Times New Roman" w:hAnsi="Calibri" w:cs="Calibri"/>
                <w:color w:val="000000"/>
                <w:sz w:val="22"/>
                <w:lang w:eastAsia="cs-CZ"/>
              </w:rPr>
            </w:pPr>
            <w:r w:rsidRPr="007C5D2E">
              <w:rPr>
                <w:rFonts w:ascii="Calibri" w:eastAsia="Times New Roman" w:hAnsi="Calibri" w:cs="Calibri"/>
                <w:color w:val="000000"/>
                <w:sz w:val="22"/>
                <w:lang w:eastAsia="cs-CZ"/>
              </w:rPr>
              <w:t>3 000</w:t>
            </w:r>
          </w:p>
        </w:tc>
        <w:tc>
          <w:tcPr>
            <w:tcW w:w="1129" w:type="dxa"/>
            <w:tcBorders>
              <w:top w:val="nil"/>
              <w:left w:val="nil"/>
              <w:bottom w:val="single" w:sz="4" w:space="0" w:color="auto"/>
              <w:right w:val="single" w:sz="4" w:space="0" w:color="auto"/>
            </w:tcBorders>
            <w:shd w:val="clear" w:color="auto" w:fill="auto"/>
            <w:noWrap/>
            <w:vAlign w:val="center"/>
            <w:hideMark/>
          </w:tcPr>
          <w:p w:rsidR="006732A5" w:rsidRPr="007C5D2E" w:rsidRDefault="006732A5" w:rsidP="006732A5">
            <w:pPr>
              <w:spacing w:before="0" w:after="0" w:line="360" w:lineRule="auto"/>
              <w:jc w:val="center"/>
              <w:rPr>
                <w:rFonts w:ascii="Calibri" w:eastAsia="Times New Roman" w:hAnsi="Calibri" w:cs="Calibri"/>
                <w:color w:val="000000"/>
                <w:sz w:val="22"/>
                <w:lang w:eastAsia="cs-CZ"/>
              </w:rPr>
            </w:pPr>
            <w:r w:rsidRPr="007C5D2E">
              <w:rPr>
                <w:rFonts w:ascii="Calibri" w:eastAsia="Times New Roman" w:hAnsi="Calibri" w:cs="Calibri"/>
                <w:color w:val="000000"/>
                <w:sz w:val="22"/>
                <w:lang w:eastAsia="cs-CZ"/>
              </w:rPr>
              <w:t>5 102 300</w:t>
            </w:r>
          </w:p>
        </w:tc>
        <w:tc>
          <w:tcPr>
            <w:tcW w:w="1052" w:type="dxa"/>
            <w:tcBorders>
              <w:top w:val="nil"/>
              <w:left w:val="nil"/>
              <w:bottom w:val="single" w:sz="4" w:space="0" w:color="auto"/>
              <w:right w:val="single" w:sz="4" w:space="0" w:color="auto"/>
            </w:tcBorders>
            <w:shd w:val="clear" w:color="auto" w:fill="auto"/>
            <w:noWrap/>
            <w:vAlign w:val="center"/>
            <w:hideMark/>
          </w:tcPr>
          <w:p w:rsidR="006732A5" w:rsidRPr="007C5D2E" w:rsidRDefault="006732A5" w:rsidP="006732A5">
            <w:pPr>
              <w:spacing w:before="0" w:after="0" w:line="360" w:lineRule="auto"/>
              <w:jc w:val="center"/>
              <w:rPr>
                <w:rFonts w:ascii="Calibri" w:eastAsia="Times New Roman" w:hAnsi="Calibri" w:cs="Calibri"/>
                <w:color w:val="000000"/>
                <w:sz w:val="22"/>
                <w:lang w:eastAsia="cs-CZ"/>
              </w:rPr>
            </w:pPr>
            <w:r w:rsidRPr="007C5D2E">
              <w:rPr>
                <w:rFonts w:ascii="Calibri" w:eastAsia="Times New Roman" w:hAnsi="Calibri" w:cs="Calibri"/>
                <w:color w:val="000000"/>
                <w:sz w:val="22"/>
                <w:lang w:eastAsia="cs-CZ"/>
              </w:rPr>
              <w:t>4 973 500</w:t>
            </w:r>
          </w:p>
        </w:tc>
        <w:tc>
          <w:tcPr>
            <w:tcW w:w="998" w:type="dxa"/>
            <w:tcBorders>
              <w:top w:val="nil"/>
              <w:left w:val="nil"/>
              <w:bottom w:val="single" w:sz="4" w:space="0" w:color="auto"/>
              <w:right w:val="single" w:sz="4" w:space="0" w:color="auto"/>
            </w:tcBorders>
            <w:shd w:val="clear" w:color="auto" w:fill="auto"/>
            <w:noWrap/>
            <w:vAlign w:val="center"/>
            <w:hideMark/>
          </w:tcPr>
          <w:p w:rsidR="006732A5" w:rsidRPr="007C5D2E" w:rsidRDefault="006732A5" w:rsidP="006732A5">
            <w:pPr>
              <w:spacing w:before="0" w:after="0" w:line="360" w:lineRule="auto"/>
              <w:jc w:val="center"/>
              <w:rPr>
                <w:rFonts w:ascii="Calibri" w:eastAsia="Times New Roman" w:hAnsi="Calibri" w:cs="Calibri"/>
                <w:color w:val="000000"/>
                <w:sz w:val="22"/>
                <w:lang w:eastAsia="cs-CZ"/>
              </w:rPr>
            </w:pPr>
            <w:r w:rsidRPr="007C5D2E">
              <w:rPr>
                <w:rFonts w:ascii="Calibri" w:eastAsia="Times New Roman" w:hAnsi="Calibri" w:cs="Calibri"/>
                <w:color w:val="000000"/>
                <w:sz w:val="22"/>
                <w:lang w:eastAsia="cs-CZ"/>
              </w:rPr>
              <w:t>-128 800</w:t>
            </w:r>
          </w:p>
        </w:tc>
      </w:tr>
      <w:tr w:rsidR="006732A5" w:rsidRPr="007C5D2E" w:rsidTr="006732A5">
        <w:trPr>
          <w:trHeight w:val="300"/>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rsidR="006732A5" w:rsidRPr="007C5D2E" w:rsidRDefault="006732A5" w:rsidP="006732A5">
            <w:pPr>
              <w:spacing w:before="0" w:after="0" w:line="360" w:lineRule="auto"/>
              <w:jc w:val="center"/>
              <w:rPr>
                <w:rFonts w:ascii="Calibri" w:eastAsia="Times New Roman" w:hAnsi="Calibri" w:cs="Calibri"/>
                <w:b/>
                <w:bCs/>
                <w:color w:val="000000"/>
                <w:sz w:val="22"/>
                <w:lang w:eastAsia="cs-CZ"/>
              </w:rPr>
            </w:pPr>
            <w:r w:rsidRPr="007C5D2E">
              <w:rPr>
                <w:rFonts w:ascii="Calibri" w:eastAsia="Times New Roman" w:hAnsi="Calibri" w:cs="Calibri"/>
                <w:b/>
                <w:bCs/>
                <w:color w:val="000000"/>
                <w:sz w:val="22"/>
                <w:lang w:eastAsia="cs-CZ"/>
              </w:rPr>
              <w:t>5</w:t>
            </w:r>
          </w:p>
        </w:tc>
        <w:tc>
          <w:tcPr>
            <w:tcW w:w="1963" w:type="dxa"/>
            <w:tcBorders>
              <w:top w:val="nil"/>
              <w:left w:val="nil"/>
              <w:bottom w:val="single" w:sz="4" w:space="0" w:color="auto"/>
              <w:right w:val="single" w:sz="4" w:space="0" w:color="auto"/>
            </w:tcBorders>
            <w:shd w:val="clear" w:color="auto" w:fill="auto"/>
            <w:noWrap/>
            <w:vAlign w:val="bottom"/>
            <w:hideMark/>
          </w:tcPr>
          <w:p w:rsidR="006732A5" w:rsidRPr="007C5D2E" w:rsidRDefault="006732A5" w:rsidP="006732A5">
            <w:pPr>
              <w:spacing w:before="0" w:after="0" w:line="360" w:lineRule="auto"/>
              <w:jc w:val="left"/>
              <w:rPr>
                <w:rFonts w:ascii="Calibri" w:eastAsia="Times New Roman" w:hAnsi="Calibri" w:cs="Calibri"/>
                <w:b/>
                <w:bCs/>
                <w:color w:val="000000"/>
                <w:sz w:val="22"/>
                <w:lang w:eastAsia="cs-CZ"/>
              </w:rPr>
            </w:pPr>
            <w:r w:rsidRPr="007C5D2E">
              <w:rPr>
                <w:rFonts w:ascii="Calibri" w:eastAsia="Times New Roman" w:hAnsi="Calibri" w:cs="Calibri"/>
                <w:b/>
                <w:bCs/>
                <w:color w:val="000000"/>
                <w:sz w:val="22"/>
                <w:lang w:eastAsia="cs-CZ"/>
              </w:rPr>
              <w:t>stagnace</w:t>
            </w:r>
          </w:p>
        </w:tc>
        <w:tc>
          <w:tcPr>
            <w:tcW w:w="1134" w:type="dxa"/>
            <w:tcBorders>
              <w:top w:val="nil"/>
              <w:left w:val="nil"/>
              <w:bottom w:val="single" w:sz="4" w:space="0" w:color="auto"/>
              <w:right w:val="single" w:sz="4" w:space="0" w:color="auto"/>
            </w:tcBorders>
            <w:shd w:val="clear" w:color="auto" w:fill="auto"/>
            <w:noWrap/>
            <w:vAlign w:val="center"/>
            <w:hideMark/>
          </w:tcPr>
          <w:p w:rsidR="006732A5" w:rsidRPr="007C5D2E" w:rsidRDefault="006732A5" w:rsidP="006732A5">
            <w:pPr>
              <w:spacing w:before="0" w:after="0" w:line="360" w:lineRule="auto"/>
              <w:jc w:val="center"/>
              <w:rPr>
                <w:rFonts w:ascii="Calibri" w:eastAsia="Times New Roman" w:hAnsi="Calibri" w:cs="Calibri"/>
                <w:color w:val="000000"/>
                <w:sz w:val="22"/>
                <w:lang w:eastAsia="cs-CZ"/>
              </w:rPr>
            </w:pPr>
            <w:r w:rsidRPr="007C5D2E">
              <w:rPr>
                <w:rFonts w:ascii="Calibri" w:eastAsia="Times New Roman" w:hAnsi="Calibri" w:cs="Calibri"/>
                <w:color w:val="000000"/>
                <w:sz w:val="22"/>
                <w:lang w:eastAsia="cs-CZ"/>
              </w:rPr>
              <w:t>4 839 500</w:t>
            </w:r>
          </w:p>
        </w:tc>
        <w:tc>
          <w:tcPr>
            <w:tcW w:w="1134" w:type="dxa"/>
            <w:tcBorders>
              <w:top w:val="nil"/>
              <w:left w:val="nil"/>
              <w:bottom w:val="single" w:sz="4" w:space="0" w:color="auto"/>
              <w:right w:val="single" w:sz="4" w:space="0" w:color="auto"/>
            </w:tcBorders>
            <w:shd w:val="clear" w:color="auto" w:fill="auto"/>
            <w:noWrap/>
            <w:vAlign w:val="center"/>
            <w:hideMark/>
          </w:tcPr>
          <w:p w:rsidR="006732A5" w:rsidRPr="007C5D2E" w:rsidRDefault="006732A5" w:rsidP="006732A5">
            <w:pPr>
              <w:spacing w:before="0" w:after="0" w:line="360" w:lineRule="auto"/>
              <w:jc w:val="center"/>
              <w:rPr>
                <w:rFonts w:ascii="Calibri" w:eastAsia="Times New Roman" w:hAnsi="Calibri" w:cs="Calibri"/>
                <w:color w:val="000000"/>
                <w:sz w:val="22"/>
                <w:lang w:eastAsia="cs-CZ"/>
              </w:rPr>
            </w:pPr>
            <w:r w:rsidRPr="007C5D2E">
              <w:rPr>
                <w:rFonts w:ascii="Calibri" w:eastAsia="Times New Roman" w:hAnsi="Calibri" w:cs="Calibri"/>
                <w:color w:val="000000"/>
                <w:sz w:val="22"/>
                <w:lang w:eastAsia="cs-CZ"/>
              </w:rPr>
              <w:t>4 876 200</w:t>
            </w:r>
          </w:p>
        </w:tc>
        <w:tc>
          <w:tcPr>
            <w:tcW w:w="998" w:type="dxa"/>
            <w:tcBorders>
              <w:top w:val="nil"/>
              <w:left w:val="nil"/>
              <w:bottom w:val="single" w:sz="4" w:space="0" w:color="auto"/>
              <w:right w:val="single" w:sz="4" w:space="0" w:color="auto"/>
            </w:tcBorders>
            <w:shd w:val="clear" w:color="auto" w:fill="auto"/>
            <w:noWrap/>
            <w:vAlign w:val="center"/>
            <w:hideMark/>
          </w:tcPr>
          <w:p w:rsidR="006732A5" w:rsidRPr="007C5D2E" w:rsidRDefault="006732A5" w:rsidP="006732A5">
            <w:pPr>
              <w:spacing w:before="0" w:after="0" w:line="360" w:lineRule="auto"/>
              <w:jc w:val="center"/>
              <w:rPr>
                <w:rFonts w:ascii="Calibri" w:eastAsia="Times New Roman" w:hAnsi="Calibri" w:cs="Calibri"/>
                <w:color w:val="000000"/>
                <w:sz w:val="22"/>
                <w:lang w:eastAsia="cs-CZ"/>
              </w:rPr>
            </w:pPr>
            <w:r w:rsidRPr="007C5D2E">
              <w:rPr>
                <w:rFonts w:ascii="Calibri" w:eastAsia="Times New Roman" w:hAnsi="Calibri" w:cs="Calibri"/>
                <w:color w:val="000000"/>
                <w:sz w:val="22"/>
                <w:lang w:eastAsia="cs-CZ"/>
              </w:rPr>
              <w:t>36 700</w:t>
            </w:r>
          </w:p>
        </w:tc>
        <w:tc>
          <w:tcPr>
            <w:tcW w:w="1129" w:type="dxa"/>
            <w:tcBorders>
              <w:top w:val="nil"/>
              <w:left w:val="nil"/>
              <w:bottom w:val="single" w:sz="4" w:space="0" w:color="auto"/>
              <w:right w:val="single" w:sz="4" w:space="0" w:color="auto"/>
            </w:tcBorders>
            <w:shd w:val="clear" w:color="auto" w:fill="auto"/>
            <w:noWrap/>
            <w:vAlign w:val="center"/>
            <w:hideMark/>
          </w:tcPr>
          <w:p w:rsidR="006732A5" w:rsidRPr="007C5D2E" w:rsidRDefault="006732A5" w:rsidP="006732A5">
            <w:pPr>
              <w:spacing w:before="0" w:after="0" w:line="360" w:lineRule="auto"/>
              <w:jc w:val="center"/>
              <w:rPr>
                <w:rFonts w:ascii="Calibri" w:eastAsia="Times New Roman" w:hAnsi="Calibri" w:cs="Calibri"/>
                <w:color w:val="000000"/>
                <w:sz w:val="22"/>
                <w:lang w:eastAsia="cs-CZ"/>
              </w:rPr>
            </w:pPr>
            <w:r w:rsidRPr="007C5D2E">
              <w:rPr>
                <w:rFonts w:ascii="Calibri" w:eastAsia="Times New Roman" w:hAnsi="Calibri" w:cs="Calibri"/>
                <w:color w:val="000000"/>
                <w:sz w:val="22"/>
                <w:lang w:eastAsia="cs-CZ"/>
              </w:rPr>
              <w:t>5 038 700</w:t>
            </w:r>
          </w:p>
        </w:tc>
        <w:tc>
          <w:tcPr>
            <w:tcW w:w="1052" w:type="dxa"/>
            <w:tcBorders>
              <w:top w:val="nil"/>
              <w:left w:val="nil"/>
              <w:bottom w:val="single" w:sz="4" w:space="0" w:color="auto"/>
              <w:right w:val="single" w:sz="4" w:space="0" w:color="auto"/>
            </w:tcBorders>
            <w:shd w:val="clear" w:color="auto" w:fill="auto"/>
            <w:noWrap/>
            <w:vAlign w:val="center"/>
            <w:hideMark/>
          </w:tcPr>
          <w:p w:rsidR="006732A5" w:rsidRPr="007C5D2E" w:rsidRDefault="006732A5" w:rsidP="006732A5">
            <w:pPr>
              <w:spacing w:before="0" w:after="0" w:line="360" w:lineRule="auto"/>
              <w:jc w:val="center"/>
              <w:rPr>
                <w:rFonts w:ascii="Calibri" w:eastAsia="Times New Roman" w:hAnsi="Calibri" w:cs="Calibri"/>
                <w:color w:val="000000"/>
                <w:sz w:val="22"/>
                <w:lang w:eastAsia="cs-CZ"/>
              </w:rPr>
            </w:pPr>
            <w:r w:rsidRPr="007C5D2E">
              <w:rPr>
                <w:rFonts w:ascii="Calibri" w:eastAsia="Times New Roman" w:hAnsi="Calibri" w:cs="Calibri"/>
                <w:color w:val="000000"/>
                <w:sz w:val="22"/>
                <w:lang w:eastAsia="cs-CZ"/>
              </w:rPr>
              <w:t>4 952 200</w:t>
            </w:r>
          </w:p>
        </w:tc>
        <w:tc>
          <w:tcPr>
            <w:tcW w:w="998" w:type="dxa"/>
            <w:tcBorders>
              <w:top w:val="nil"/>
              <w:left w:val="nil"/>
              <w:bottom w:val="single" w:sz="4" w:space="0" w:color="auto"/>
              <w:right w:val="single" w:sz="4" w:space="0" w:color="auto"/>
            </w:tcBorders>
            <w:shd w:val="clear" w:color="auto" w:fill="auto"/>
            <w:noWrap/>
            <w:vAlign w:val="center"/>
            <w:hideMark/>
          </w:tcPr>
          <w:p w:rsidR="006732A5" w:rsidRPr="007C5D2E" w:rsidRDefault="006732A5" w:rsidP="006732A5">
            <w:pPr>
              <w:spacing w:before="0" w:after="0" w:line="360" w:lineRule="auto"/>
              <w:jc w:val="center"/>
              <w:rPr>
                <w:rFonts w:ascii="Calibri" w:eastAsia="Times New Roman" w:hAnsi="Calibri" w:cs="Calibri"/>
                <w:color w:val="000000"/>
                <w:sz w:val="22"/>
                <w:lang w:eastAsia="cs-CZ"/>
              </w:rPr>
            </w:pPr>
            <w:r w:rsidRPr="007C5D2E">
              <w:rPr>
                <w:rFonts w:ascii="Calibri" w:eastAsia="Times New Roman" w:hAnsi="Calibri" w:cs="Calibri"/>
                <w:color w:val="000000"/>
                <w:sz w:val="22"/>
                <w:lang w:eastAsia="cs-CZ"/>
              </w:rPr>
              <w:t>-86 500</w:t>
            </w:r>
          </w:p>
        </w:tc>
      </w:tr>
    </w:tbl>
    <w:p w:rsidR="006732A5" w:rsidRPr="009956B8" w:rsidRDefault="006732A5" w:rsidP="006732A5">
      <w:pPr>
        <w:spacing w:line="360" w:lineRule="auto"/>
      </w:pPr>
      <w:r>
        <w:t>Zdroj: e-skills Monitor, 2009</w:t>
      </w:r>
    </w:p>
    <w:p w:rsidR="006732A5" w:rsidRDefault="006732A5" w:rsidP="006732A5">
      <w:pPr>
        <w:spacing w:line="360" w:lineRule="auto"/>
      </w:pPr>
    </w:p>
    <w:p w:rsidR="006732A5" w:rsidRDefault="006732A5" w:rsidP="006732A5">
      <w:pPr>
        <w:spacing w:line="360" w:lineRule="auto"/>
      </w:pPr>
      <w:r>
        <w:t>Z tabulky je vidět, že u všech scénářů bylo očekáváno, že dojde k výraznému nárůstu poptávky po IT dovednostech, které nebudou dostatečně pokryty nárůstem nabídky. Nejhorší scénáře, co se týče nedostatku lidí s odpovídajícími IT dovednostmi, jsou v případě, že se ekonomika vrátí k mírnému růstu, doprovázenému akcelerací ICT investicí, které se však projeví převážně později než v roce 2015 (scénář 2) a v případě posunu k vysoce znalostně intenzivní ekonomice (scénář 3). Naopak nejmenší nedostatek by představovaly scénáře návratu k tradičním odvětvím s mírným ekonomickým růstem a malým růstem ICT (scénář 4) a stagnace doprovázené velmi pomalým zotavováním ekonomiky z krize a protekcionismem (scénář 5). Ve všech případech však bylo oče</w:t>
      </w:r>
      <w:r w:rsidR="00D41BFB">
        <w:t>káváno, že nabídka IT odborníků</w:t>
      </w:r>
      <w:r>
        <w:t xml:space="preserve"> bude v roce 2015 v EU nedostatečná. Chce-li se </w:t>
      </w:r>
      <w:r>
        <w:lastRenderedPageBreak/>
        <w:t>stát Česká republika i ostatní státy EU konkurenceschopnými a posunout se směrem k znalostně intensivní ekonomice, pak bude pravděpodobně nedostatek IT dovedností jejich největší brzdou.</w:t>
      </w:r>
    </w:p>
    <w:p w:rsidR="00FD0B65" w:rsidRDefault="00FD0B65" w:rsidP="006732A5">
      <w:pPr>
        <w:spacing w:line="360" w:lineRule="auto"/>
      </w:pPr>
    </w:p>
    <w:p w:rsidR="006732A5" w:rsidRDefault="006732A5" w:rsidP="006732A5">
      <w:pPr>
        <w:spacing w:line="360" w:lineRule="auto"/>
        <w:rPr>
          <w:rStyle w:val="Zdraznnintenzivn"/>
        </w:rPr>
      </w:pPr>
      <w:r>
        <w:rPr>
          <w:rStyle w:val="Zdraznnintenzivn"/>
        </w:rPr>
        <w:t>Závěr kapitoly</w:t>
      </w:r>
    </w:p>
    <w:p w:rsidR="006732A5" w:rsidRDefault="006732A5" w:rsidP="006732A5">
      <w:pPr>
        <w:spacing w:line="360" w:lineRule="auto"/>
        <w:rPr>
          <w:rStyle w:val="Zdraznnintenzivn"/>
          <w:b w:val="0"/>
          <w:i w:val="0"/>
        </w:rPr>
      </w:pPr>
      <w:r>
        <w:t xml:space="preserve">Česká internetová ekonomika zaznamenala v posledních letech dynamický vývoj. Ve srovnání s EU v ČR výrazně vzrostl poměr firem využívající e-commerce a internetové bankovnictví. Rozvoj e-commerce má mimo jiné pozitivní vliv na náklady v distribuci a časové náklady na vyhledávání zboží. Z dat Eurostatu vyplývá, že ČR již předstihla průměr EU, co se týče poměru obratu z e-commerce, i když ještě nedosahuje úrovně některých západních zemí. </w:t>
      </w:r>
    </w:p>
    <w:p w:rsidR="006732A5" w:rsidRDefault="006732A5" w:rsidP="006732A5">
      <w:pPr>
        <w:spacing w:line="360" w:lineRule="auto"/>
      </w:pPr>
      <w:r>
        <w:t xml:space="preserve">Tzv. index síťové připravenosti Světového ekonomického fóra (2012) i data Eurostatu ukazují, že jsou v ČR průměrné až lehce podprůměrné internetové dovednosti populace.  Dle studie Cattaneo et al. (2009) připravené pro Evropskou komisi bude již v roce 2015 v EU nedostatečná nabídka IT dovedností. </w:t>
      </w:r>
    </w:p>
    <w:p w:rsidR="006732A5" w:rsidRDefault="006732A5" w:rsidP="006732A5">
      <w:pPr>
        <w:spacing w:line="360" w:lineRule="auto"/>
      </w:pPr>
      <w:r>
        <w:t>Nejdůležitějším sdělením této kapitoly je, že internetová ekonomika zaznamenává stále dynamický rozvoj a je potřeba dostatečně zajistit nezbytné předpoklady i pro budoucí rozvoj. Bariéry rozvoje internetové ekonomiky a doporučení pro jejich odstranění zkoumá detailněji samostatná kapitola této analýzy.</w:t>
      </w:r>
    </w:p>
    <w:p w:rsidR="00D123D4" w:rsidRDefault="00D123D4" w:rsidP="006732A5">
      <w:pPr>
        <w:spacing w:line="360" w:lineRule="auto"/>
      </w:pPr>
    </w:p>
    <w:p w:rsidR="00D123D4" w:rsidRDefault="00D123D4" w:rsidP="006732A5">
      <w:pPr>
        <w:spacing w:line="360" w:lineRule="auto"/>
      </w:pPr>
    </w:p>
    <w:p w:rsidR="00D123D4" w:rsidRDefault="00D123D4" w:rsidP="006732A5">
      <w:pPr>
        <w:spacing w:line="360" w:lineRule="auto"/>
      </w:pPr>
    </w:p>
    <w:p w:rsidR="00D123D4" w:rsidRDefault="00D123D4" w:rsidP="006732A5">
      <w:pPr>
        <w:spacing w:line="360" w:lineRule="auto"/>
      </w:pPr>
    </w:p>
    <w:p w:rsidR="00D123D4" w:rsidRDefault="00D123D4" w:rsidP="006732A5">
      <w:pPr>
        <w:spacing w:line="360" w:lineRule="auto"/>
      </w:pPr>
    </w:p>
    <w:p w:rsidR="00D123D4" w:rsidRDefault="00D123D4" w:rsidP="006732A5">
      <w:pPr>
        <w:spacing w:line="360" w:lineRule="auto"/>
      </w:pPr>
    </w:p>
    <w:p w:rsidR="00D123D4" w:rsidRDefault="00D123D4" w:rsidP="006732A5">
      <w:pPr>
        <w:spacing w:line="360" w:lineRule="auto"/>
      </w:pPr>
    </w:p>
    <w:p w:rsidR="00D123D4" w:rsidRDefault="00D123D4" w:rsidP="006732A5">
      <w:pPr>
        <w:spacing w:line="360" w:lineRule="auto"/>
      </w:pPr>
    </w:p>
    <w:p w:rsidR="00D123D4" w:rsidRDefault="00D123D4" w:rsidP="006732A5">
      <w:pPr>
        <w:spacing w:line="360" w:lineRule="auto"/>
      </w:pPr>
    </w:p>
    <w:p w:rsidR="00D123D4" w:rsidRDefault="00D123D4" w:rsidP="006732A5">
      <w:pPr>
        <w:spacing w:line="360" w:lineRule="auto"/>
      </w:pPr>
    </w:p>
    <w:p w:rsidR="006732A5" w:rsidRDefault="006732A5" w:rsidP="006732A5">
      <w:pPr>
        <w:pStyle w:val="Nadpis1"/>
        <w:numPr>
          <w:ilvl w:val="0"/>
          <w:numId w:val="1"/>
        </w:numPr>
        <w:spacing w:line="360" w:lineRule="auto"/>
      </w:pPr>
      <w:bookmarkStart w:id="5" w:name="_Toc368040279"/>
      <w:r>
        <w:lastRenderedPageBreak/>
        <w:t>Velikost české internetové ekonomiky</w:t>
      </w:r>
      <w:bookmarkEnd w:id="5"/>
    </w:p>
    <w:p w:rsidR="006732A5" w:rsidRDefault="006732A5" w:rsidP="006732A5">
      <w:pPr>
        <w:spacing w:line="360" w:lineRule="auto"/>
      </w:pPr>
      <w:r>
        <w:t>Je více způsobů, jak lze vyjádřit velikost internetové ekonomiky</w:t>
      </w:r>
      <w:r w:rsidR="00FD0B65">
        <w:t xml:space="preserve"> </w:t>
      </w:r>
      <w:r>
        <w:t>- např. z pohledu zaměstnanosti, tržeb či poměrného příspěvku k hrubému domácímu produktu. Právě posledně jmenovaný ukazatel je však vzhledem k tomu, že internetová ekonomika je průřezové odvětví, které má zásadní dopad na všechny ostatní odvětví ekonomiky obtížně kvantifikovatelný. Je nepochybné, že relativní význam internetové ekonomiky je stále na vzestupu a že internetová ekonomika ve své širší definici již svoji velikostí i významem předstihla řadu tradičních odvětví české ekonomiky. Dle studie BCG (2011)</w:t>
      </w:r>
      <w:r w:rsidR="00C92DE9">
        <w:rPr>
          <w:rStyle w:val="Znakapoznpodarou"/>
        </w:rPr>
        <w:footnoteReference w:id="10"/>
      </w:r>
      <w:r>
        <w:t xml:space="preserve"> byla již v roce 2009 větší než např. bankovnictví, zemědělství či pohostinství</w:t>
      </w:r>
      <w:r>
        <w:rPr>
          <w:rStyle w:val="Znakapoznpodarou"/>
        </w:rPr>
        <w:footnoteReference w:id="11"/>
      </w:r>
      <w:r>
        <w:t xml:space="preserve">. </w:t>
      </w:r>
    </w:p>
    <w:p w:rsidR="006732A5" w:rsidRDefault="006732A5" w:rsidP="006732A5">
      <w:pPr>
        <w:pStyle w:val="Nadpis2"/>
        <w:numPr>
          <w:ilvl w:val="1"/>
          <w:numId w:val="1"/>
        </w:numPr>
        <w:spacing w:line="360" w:lineRule="auto"/>
      </w:pPr>
      <w:bookmarkStart w:id="6" w:name="_Toc368040280"/>
      <w:r>
        <w:t>Vliv internetové ekonomiky na hrubý domácí produkt</w:t>
      </w:r>
      <w:bookmarkEnd w:id="6"/>
    </w:p>
    <w:p w:rsidR="006732A5" w:rsidRDefault="006732A5" w:rsidP="006732A5">
      <w:pPr>
        <w:spacing w:line="360" w:lineRule="auto"/>
      </w:pPr>
      <w:r>
        <w:t>V odvětvové struktuře přidané hodnoty se obvykle uvádí hrubá přidaná hodnota a nikoliv hrubý domácí produkt. Na úrovni celé ekonomiky je hrubý domácí produkt roven hrubé přidané hodnotě doplněné</w:t>
      </w:r>
      <w:r w:rsidRPr="00D30A6D">
        <w:t xml:space="preserve"> o daně </w:t>
      </w:r>
      <w:r>
        <w:t>z produktů a snížené o dotace na produkty</w:t>
      </w:r>
      <w:r w:rsidRPr="00D30A6D">
        <w:t>.</w:t>
      </w:r>
      <w:r>
        <w:t xml:space="preserve"> Pro výpočet velikosti hrubé přidané hodnoty odvětví je třeba si nejprve definovat, co všechno do internetové ekonomiky spadá. Při nejužší možné definici by do odvětví spadaly veškeré služby, které jsou poskytovány prostřednictvím internetu a výroba všech věcí, které jsou potřeba pro připojení k internetu</w:t>
      </w:r>
      <w:r>
        <w:rPr>
          <w:rStyle w:val="Znakapoznpodarou"/>
        </w:rPr>
        <w:footnoteReference w:id="12"/>
      </w:r>
      <w:r>
        <w:t>. U takto úzce definované internetové ekonomiky by však zaprvé bylo velmi obtížné určit její podíl na HDP, protože k takovému výpočtu nejsou dostupná dostatečně podrobná data a zadruhé by toto číslo nedostatečně vyjadřovalo skutečný význam internetové ekonomiky pro národní hospodářství. Výroba počítačů, včetně veškerých součástek i vývoj řady softwarů by do takovéto definice nespadaly, přestože za svůj rozvoj vděčí především internetu. Z dat Eurostatu pro rok 2011 vyplývá, že 26 % lidí v EU nikdy nevyužilo internet, ale že z lidí, kteří mají počítač, pouhá 2 % nikdy nevyužila internet. 71 % lidí používá internet na vyhledávání informací. 63 % lidí v EU používá počítač k posílání e-mailů atd. Je zřejmé, že internet a počítač</w:t>
      </w:r>
      <w:r w:rsidR="00C92DE9">
        <w:t>e</w:t>
      </w:r>
      <w:r>
        <w:t xml:space="preserve">, internet a tablety jsou komplementárními statky a to samé samozřejmě platí u výroby součástek do počítačů, vývoji software, který je závislý na internetu, opravách počítačů apod. Z těchto důvodů jsme se v této studii rozhodli využít jako jádro internetové ekonomiky celý ICT sektor (definice </w:t>
      </w:r>
      <w:r>
        <w:lastRenderedPageBreak/>
        <w:t>v boxu níže). Tato širší definice lépe reprezentuje význam internetové ekonomiky, přestože existují činnosti, které patří do ICT sektoru a nepatří do internetové ekonomiky a naopak</w:t>
      </w:r>
      <w:r>
        <w:rPr>
          <w:rStyle w:val="Znakapoznpodarou"/>
        </w:rPr>
        <w:footnoteReference w:id="13"/>
      </w:r>
      <w:r>
        <w:t xml:space="preserve">. </w:t>
      </w:r>
    </w:p>
    <w:p w:rsidR="006732A5" w:rsidRDefault="006732A5" w:rsidP="006732A5">
      <w:pPr>
        <w:spacing w:line="360" w:lineRule="auto"/>
      </w:pPr>
      <w:r>
        <w:t>S postupujícím časem internetová ekonomika čím dál tím více srůstá s ICT sektorem, neboť s rozvojem cloud computingu klesá význam kapitálových investic do hardware a naopak roste význam služeb typu Software jako služba (SaaS), čímž je dosaženo efektivnějšího využití kapacit hardware, větší flexibility, ale také větší využití internetu k</w:t>
      </w:r>
      <w:r w:rsidR="00C92DE9">
        <w:t>e</w:t>
      </w:r>
      <w:r>
        <w:t> správě firemních informačních systémů. V telekomunikačních činnostech, do nichž spadá i poskytování přístupu k internetu provozovateli komunikačních sítí, také hraje internet čím dál tím významnější roli. Mobilní aplikace jako WhatsApp, Viber, Kakao Talk či běžné internetové programy pro komunikaci a sociální sítě jako Skype, Facebook, ICQ apod. vytvářejí substituty SMS i běžným telefonním hovorům a vytlačují je tak pomalu z pozice na trhu mobilní komunikace</w:t>
      </w:r>
      <w:r>
        <w:rPr>
          <w:rStyle w:val="Znakapoznpodarou"/>
        </w:rPr>
        <w:footnoteReference w:id="14"/>
      </w:r>
      <w:r>
        <w:t>. Přestože ještě není internetová ekonomika s ICT sektorem ekvivalentní, věříme, že vzájemnou provázaností již velikost internetové ekon</w:t>
      </w:r>
      <w:r w:rsidR="00C92DE9">
        <w:t>omiky se při své širší definici</w:t>
      </w:r>
      <w:r>
        <w:t xml:space="preserve"> blíží velikosti celého ICT sektoru.</w:t>
      </w:r>
    </w:p>
    <w:p w:rsidR="006732A5" w:rsidRDefault="006732A5" w:rsidP="006732A5">
      <w:pPr>
        <w:pStyle w:val="Titulek"/>
      </w:pPr>
    </w:p>
    <w:p w:rsidR="006732A5" w:rsidRDefault="006732A5" w:rsidP="006732A5">
      <w:pPr>
        <w:pStyle w:val="Titulek"/>
        <w:rPr>
          <w:b/>
        </w:rPr>
      </w:pPr>
      <w:r>
        <w:t xml:space="preserve">Box </w:t>
      </w:r>
      <w:fldSimple w:instr=" SEQ Box \* ARABIC ">
        <w:r w:rsidR="00A828CC">
          <w:rPr>
            <w:noProof/>
          </w:rPr>
          <w:t>1</w:t>
        </w:r>
      </w:fldSimple>
      <w:r>
        <w:t>: Definice a vymezení ICT sektoru</w:t>
      </w:r>
    </w:p>
    <w:tbl>
      <w:tblPr>
        <w:tblStyle w:val="Mkatabulky"/>
        <w:tblW w:w="0" w:type="auto"/>
        <w:tblLook w:val="04A0"/>
      </w:tblPr>
      <w:tblGrid>
        <w:gridCol w:w="9210"/>
      </w:tblGrid>
      <w:tr w:rsidR="00C92DE9" w:rsidTr="0001507A">
        <w:tc>
          <w:tcPr>
            <w:tcW w:w="9210" w:type="dxa"/>
          </w:tcPr>
          <w:p w:rsidR="00C92DE9" w:rsidRDefault="00C92DE9" w:rsidP="0001507A">
            <w:pPr>
              <w:spacing w:line="360" w:lineRule="auto"/>
            </w:pPr>
            <w:r>
              <w:t>Dle metodiky ČSÚ a OECD je ICT sektor definován jako: „kombinace ekonomických činností produkujících výrobky a poskytujících služby, jež jsou primárně určeny ke zpracování, komunikaci a distribuci informací elektronickou cestou, včetně jejich zachycení, ukládání, přenosu a zobrazení.“</w:t>
            </w:r>
          </w:p>
          <w:p w:rsidR="00C92DE9" w:rsidRDefault="00C92DE9" w:rsidP="0001507A">
            <w:pPr>
              <w:spacing w:line="360" w:lineRule="auto"/>
            </w:pPr>
            <w:r>
              <w:t>Podniky a živnostníci jsou přiřazovány k jednotlivým odvětvím (tedy i ICT sektoru) na základě jejich hlavní převažující činnosti podle CZ-NACE. ICT sektor se dělí na 4 hlavní kategorie:</w:t>
            </w:r>
          </w:p>
          <w:p w:rsidR="00C92DE9" w:rsidRDefault="00C92DE9" w:rsidP="0001507A">
            <w:pPr>
              <w:pStyle w:val="Odstavecseseznamem"/>
              <w:numPr>
                <w:ilvl w:val="0"/>
                <w:numId w:val="31"/>
              </w:numPr>
              <w:spacing w:line="360" w:lineRule="auto"/>
            </w:pPr>
            <w:r>
              <w:t xml:space="preserve">Výroba ICT </w:t>
            </w:r>
          </w:p>
          <w:p w:rsidR="00C92DE9" w:rsidRDefault="00C92DE9" w:rsidP="0001507A">
            <w:pPr>
              <w:pStyle w:val="Odstavecseseznamem"/>
              <w:numPr>
                <w:ilvl w:val="0"/>
                <w:numId w:val="31"/>
              </w:numPr>
              <w:spacing w:line="360" w:lineRule="auto"/>
            </w:pPr>
            <w:r>
              <w:t>Obchod s ICT</w:t>
            </w:r>
          </w:p>
          <w:p w:rsidR="00C92DE9" w:rsidRDefault="00C92DE9" w:rsidP="0001507A">
            <w:pPr>
              <w:pStyle w:val="Odstavecseseznamem"/>
              <w:numPr>
                <w:ilvl w:val="0"/>
                <w:numId w:val="31"/>
              </w:numPr>
              <w:spacing w:line="360" w:lineRule="auto"/>
            </w:pPr>
            <w:r>
              <w:t>Telekomunikační činnosti (telekomunikace)</w:t>
            </w:r>
          </w:p>
          <w:p w:rsidR="00C92DE9" w:rsidRDefault="00C92DE9" w:rsidP="0001507A">
            <w:pPr>
              <w:pStyle w:val="Odstavecseseznamem"/>
              <w:numPr>
                <w:ilvl w:val="0"/>
                <w:numId w:val="31"/>
              </w:numPr>
              <w:spacing w:line="360" w:lineRule="auto"/>
            </w:pPr>
            <w:r>
              <w:t>Služby v oblasti informačních technologií (IT služby)</w:t>
            </w:r>
          </w:p>
        </w:tc>
      </w:tr>
    </w:tbl>
    <w:p w:rsidR="006732A5" w:rsidRPr="001A1F7B" w:rsidRDefault="006732A5" w:rsidP="006732A5">
      <w:pPr>
        <w:spacing w:line="360" w:lineRule="auto"/>
      </w:pPr>
    </w:p>
    <w:p w:rsidR="00C92DE9" w:rsidRDefault="006732A5" w:rsidP="006732A5">
      <w:pPr>
        <w:spacing w:line="360" w:lineRule="auto"/>
      </w:pPr>
      <w:r>
        <w:t xml:space="preserve">Studie BCG (2011) vyhodnotila přidanou hodnotu internetové ekonomiky za rok 2009 na 130 mld. Kč, což představovalo 3,6 % HDP. Autoři zvolili výdajovou metodu jako způsob výpočtu </w:t>
      </w:r>
      <w:r>
        <w:lastRenderedPageBreak/>
        <w:t>přidané hodnoty. U této metody v kombinaci s dostupností údajů z Českého statistického úřadu (ČSÚ) bývá obtížné rozčlenit soukromou spotřebu do jednotlivých odvětví, protože konečná spotřeba obvykle nereprezentuje, v kterém odvětví byla vytvořena přidaná hodnota. Ve studii je počítáno s objemem uskutečněných koncových prodejů přes internet (B2C e-commerce) jako se soukromou spotřebou náležící v plné výši k výpočtu přidané hodnoty internetové ekonomiky</w:t>
      </w:r>
      <w:r>
        <w:rPr>
          <w:rStyle w:val="Znakapoznpodarou"/>
        </w:rPr>
        <w:footnoteReference w:id="15"/>
      </w:r>
      <w:r>
        <w:t xml:space="preserve">. </w:t>
      </w:r>
      <w:r w:rsidR="00C92DE9">
        <w:t>V této studii však využíváme jinou metodologii, k</w:t>
      </w:r>
      <w:r w:rsidR="003E447A">
        <w:t>de počítáme pouze</w:t>
      </w:r>
      <w:r w:rsidR="00C92DE9">
        <w:t xml:space="preserve"> přidanou hodnotu </w:t>
      </w:r>
      <w:r w:rsidR="003E447A">
        <w:t>maloobchodu prostřednictvím internetu nebo zásilkové služby</w:t>
      </w:r>
      <w:r w:rsidR="003E447A">
        <w:rPr>
          <w:rStyle w:val="Znakapoznpodarou"/>
        </w:rPr>
        <w:footnoteReference w:id="16"/>
      </w:r>
      <w:r w:rsidR="003E447A">
        <w:t xml:space="preserve"> </w:t>
      </w:r>
      <w:r w:rsidR="00C92DE9">
        <w:t>do já</w:t>
      </w:r>
      <w:r w:rsidR="003E447A">
        <w:t>dra internetové ekonomiky.</w:t>
      </w:r>
    </w:p>
    <w:p w:rsidR="006732A5" w:rsidRDefault="006732A5" w:rsidP="006732A5">
      <w:pPr>
        <w:spacing w:line="360" w:lineRule="auto"/>
      </w:pPr>
      <w:r>
        <w:t xml:space="preserve">Část přidané hodnoty </w:t>
      </w:r>
      <w:r w:rsidR="003E447A">
        <w:t>ICT sektoru</w:t>
      </w:r>
      <w:r>
        <w:t xml:space="preserve"> vyplývající z B2C e-commerce je zahrnuta v HPH ICT sektoru, pokud se jedná o velkoobchod s počítačovým a komunikačním zařízením. Co však statisticky do přidané hodnoty ICT sektoru nespadá je m</w:t>
      </w:r>
      <w:r w:rsidRPr="00352ABF">
        <w:t>aloobchod s počítačovým a komunikačním zařízením ve specializovaných prodejnách</w:t>
      </w:r>
      <w:r>
        <w:t xml:space="preserve"> (přidaná hodnota 2,07 mld. Kč za rok 2011) a maloobchod prostřednictvím internetu nebo zásilkové služby (přidaná hodnota 2,93 mld. Kč za rok 2011). B2B i B2C e-commerce je tedy jen ve své malé části započítávána do přidané hodnoty ICT sektoru. Větší část je připočítána maloobchodu a velkoobchodu. Skutečný přínos e-commerce pro ekonomiku je však ještě větší než je měřitelné jako součet přidané hodnoty připadající na e-commerce s ICT zbožím, velkoobchodu a maloobchodu prostřednictvím internetu, protože zlevnění distribuce oproti tradičním kanálům retailového prodeje je větší, než se promítne v přidané hodnotě. V HPH ICT sektoru se také nepromítne spotřebitelský přebytek a úspora času spotřebitelů.</w:t>
      </w:r>
    </w:p>
    <w:p w:rsidR="006732A5" w:rsidRDefault="006732A5" w:rsidP="006732A5">
      <w:pPr>
        <w:spacing w:line="360" w:lineRule="auto"/>
      </w:pPr>
      <w:r>
        <w:t>Z těchto důvodů podobně jako studie BCG (2011) využíváme systém kruhů pro znázornění vlivu internetové ekonomiky na HDP, na rozdíl od této studie však řadíme B2C e-commerce do vnějšího kruhu struktury. Následující obrázek zobrazuje strukturu, jak internetová ekonomika ovlivňuje českou ekonomiku z pohledu HDP.</w:t>
      </w:r>
    </w:p>
    <w:p w:rsidR="006732A5" w:rsidRDefault="006732A5" w:rsidP="006732A5">
      <w:pPr>
        <w:spacing w:line="360" w:lineRule="auto"/>
      </w:pPr>
    </w:p>
    <w:p w:rsidR="00D123D4" w:rsidRDefault="00D123D4" w:rsidP="006732A5">
      <w:pPr>
        <w:spacing w:line="360" w:lineRule="auto"/>
      </w:pPr>
    </w:p>
    <w:p w:rsidR="00D123D4" w:rsidRDefault="00D123D4" w:rsidP="006732A5">
      <w:pPr>
        <w:spacing w:line="360" w:lineRule="auto"/>
      </w:pPr>
    </w:p>
    <w:p w:rsidR="00D123D4" w:rsidRDefault="00D123D4" w:rsidP="006732A5">
      <w:pPr>
        <w:spacing w:line="360" w:lineRule="auto"/>
      </w:pPr>
    </w:p>
    <w:p w:rsidR="00D123D4" w:rsidRDefault="00D123D4" w:rsidP="006732A5">
      <w:pPr>
        <w:spacing w:line="360" w:lineRule="auto"/>
      </w:pPr>
    </w:p>
    <w:p w:rsidR="00D123D4" w:rsidRDefault="00D123D4" w:rsidP="006732A5">
      <w:pPr>
        <w:spacing w:line="360" w:lineRule="auto"/>
      </w:pPr>
    </w:p>
    <w:p w:rsidR="006732A5" w:rsidRDefault="006732A5" w:rsidP="006732A5">
      <w:pPr>
        <w:pStyle w:val="Titulek"/>
        <w:spacing w:line="360" w:lineRule="auto"/>
      </w:pPr>
      <w:r>
        <w:lastRenderedPageBreak/>
        <w:t xml:space="preserve">Obrázek </w:t>
      </w:r>
      <w:fldSimple w:instr=" SEQ Obrázek \* ARABIC ">
        <w:r w:rsidR="00A828CC">
          <w:rPr>
            <w:noProof/>
          </w:rPr>
          <w:t>3</w:t>
        </w:r>
      </w:fldSimple>
      <w:r>
        <w:t>: Struktura jak ovlivňuje internetová ekonomika českou ekonomiku</w:t>
      </w:r>
    </w:p>
    <w:p w:rsidR="006732A5" w:rsidRPr="00FA32E3" w:rsidRDefault="006732A5" w:rsidP="006732A5">
      <w:pPr>
        <w:spacing w:line="360" w:lineRule="auto"/>
      </w:pPr>
      <w:r w:rsidRPr="00377CC3">
        <w:rPr>
          <w:noProof/>
          <w:lang w:eastAsia="cs-CZ"/>
        </w:rPr>
        <w:drawing>
          <wp:inline distT="0" distB="0" distL="0" distR="0">
            <wp:extent cx="5759450" cy="2771968"/>
            <wp:effectExtent l="19050" t="0" r="0" b="0"/>
            <wp:docPr id="5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59450" cy="2771968"/>
                    </a:xfrm>
                    <a:prstGeom prst="rect">
                      <a:avLst/>
                    </a:prstGeom>
                    <a:noFill/>
                    <a:ln w="9525">
                      <a:noFill/>
                      <a:miter lim="800000"/>
                      <a:headEnd/>
                      <a:tailEnd/>
                    </a:ln>
                  </pic:spPr>
                </pic:pic>
              </a:graphicData>
            </a:graphic>
          </wp:inline>
        </w:drawing>
      </w:r>
    </w:p>
    <w:p w:rsidR="006732A5" w:rsidRDefault="006732A5" w:rsidP="006732A5">
      <w:pPr>
        <w:spacing w:line="360" w:lineRule="auto"/>
        <w:rPr>
          <w:b/>
        </w:rPr>
      </w:pPr>
      <w:r w:rsidRPr="005F453C">
        <w:rPr>
          <w:b/>
        </w:rPr>
        <w:t>Vnitřní kruh internetové ekonomiky</w:t>
      </w:r>
      <w:r>
        <w:rPr>
          <w:b/>
        </w:rPr>
        <w:t>:</w:t>
      </w:r>
    </w:p>
    <w:p w:rsidR="006732A5" w:rsidRDefault="006732A5" w:rsidP="006732A5">
      <w:pPr>
        <w:spacing w:line="360" w:lineRule="auto"/>
      </w:pPr>
      <w:r>
        <w:t xml:space="preserve">Ve vnitřním kruhu je znázorněn celý ICT sektor. </w:t>
      </w:r>
      <w:r w:rsidRPr="00E645D0">
        <w:rPr>
          <w:b/>
        </w:rPr>
        <w:t>Velikost přidané hodnoty byla v roce 2011 160,5 mld. Kč</w:t>
      </w:r>
      <w:r w:rsidRPr="00E645D0">
        <w:rPr>
          <w:rStyle w:val="Znakapoznpodarou"/>
          <w:b/>
        </w:rPr>
        <w:footnoteReference w:id="17"/>
      </w:r>
      <w:r w:rsidRPr="00E645D0">
        <w:rPr>
          <w:b/>
        </w:rPr>
        <w:t>, což představovalo přibližně 4,2 % HDP a 4,66 % HPH České republiky.</w:t>
      </w:r>
      <w:r>
        <w:rPr>
          <w:b/>
        </w:rPr>
        <w:t xml:space="preserve"> </w:t>
      </w:r>
      <w:r>
        <w:t>48 % z přidané hodnoty ICT sektoru činily IT služby, 38 % telekomunikační činnosti, 6 % obchod s ICT a 8 % výroba. Následující graf shrnuje vývoj v posledních letech.</w:t>
      </w:r>
    </w:p>
    <w:p w:rsidR="006732A5" w:rsidRDefault="006732A5" w:rsidP="006732A5">
      <w:pPr>
        <w:pStyle w:val="Titulek"/>
        <w:spacing w:line="360" w:lineRule="auto"/>
      </w:pPr>
      <w:r>
        <w:t xml:space="preserve">Graf </w:t>
      </w:r>
      <w:fldSimple w:instr=" SEQ Graf \* ARABIC ">
        <w:r w:rsidR="00A828CC">
          <w:rPr>
            <w:noProof/>
          </w:rPr>
          <w:t>1</w:t>
        </w:r>
      </w:fldSimple>
      <w:r>
        <w:t>: Hrubá přidaná hodnota ICT sektoru a jeho podíl na HDP</w:t>
      </w:r>
    </w:p>
    <w:p w:rsidR="006732A5" w:rsidRDefault="006732A5" w:rsidP="006732A5">
      <w:pPr>
        <w:spacing w:line="360" w:lineRule="auto"/>
      </w:pPr>
      <w:r w:rsidRPr="00C00349">
        <w:rPr>
          <w:noProof/>
          <w:lang w:eastAsia="cs-CZ"/>
        </w:rPr>
        <w:drawing>
          <wp:inline distT="0" distB="0" distL="0" distR="0">
            <wp:extent cx="3371850" cy="3057919"/>
            <wp:effectExtent l="19050" t="0" r="0" b="0"/>
            <wp:docPr id="1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3376897" cy="3062496"/>
                    </a:xfrm>
                    <a:prstGeom prst="rect">
                      <a:avLst/>
                    </a:prstGeom>
                    <a:noFill/>
                    <a:ln w="9525">
                      <a:noFill/>
                      <a:miter lim="800000"/>
                      <a:headEnd/>
                      <a:tailEnd/>
                    </a:ln>
                  </pic:spPr>
                </pic:pic>
              </a:graphicData>
            </a:graphic>
          </wp:inline>
        </w:drawing>
      </w:r>
    </w:p>
    <w:p w:rsidR="006732A5" w:rsidRDefault="006732A5" w:rsidP="006732A5">
      <w:pPr>
        <w:spacing w:line="360" w:lineRule="auto"/>
      </w:pPr>
      <w:r>
        <w:t xml:space="preserve">Zdroj: </w:t>
      </w:r>
      <w:r w:rsidRPr="00C00349">
        <w:t>ČSÚ, Strukturální šetření podnikatelského sektoru a RNÚ</w:t>
      </w:r>
    </w:p>
    <w:p w:rsidR="00FA32E3" w:rsidRDefault="006732A5" w:rsidP="006732A5">
      <w:pPr>
        <w:spacing w:line="360" w:lineRule="auto"/>
      </w:pPr>
      <w:r>
        <w:lastRenderedPageBreak/>
        <w:t>Internetová ekonomika, jak již bylo zmíněno, tvoří jen část ICT sektoru. Pokud bychom měli vyjít z metodologie BCG (2011) a pouze bychom přeřadili B2C e-commerce do prvního vnějšího kruhu a naopak přičetli pouze přidanou hodnotu maloobchodu prostřednictvím internetu nebo zásilkové služby, přidaná hodnota internetové ekonomiky (vnitřního kruhu) v roce 2009 by byla</w:t>
      </w:r>
      <w:r w:rsidR="003E447A">
        <w:t xml:space="preserve"> přibližně 96 </w:t>
      </w:r>
      <w:r>
        <w:t xml:space="preserve">mld. Kč, což tvořilo přibližně 60 % přidané hodnoty celého ICT sektoru. </w:t>
      </w:r>
    </w:p>
    <w:p w:rsidR="00FA32E3" w:rsidRDefault="006732A5" w:rsidP="006732A5">
      <w:pPr>
        <w:spacing w:line="360" w:lineRule="auto"/>
      </w:pPr>
      <w:r>
        <w:t>Vzhledem k rostoucímu významu internetov</w:t>
      </w:r>
      <w:r w:rsidR="003E447A">
        <w:t>é ekonomiky v rámci ICT sektoru</w:t>
      </w:r>
      <w:r>
        <w:t xml:space="preserve"> lze očekávat, že dnes je tento poměr vyšší, zvláště pokud zahrneme do internetové ekonomiky i hrubou přidano</w:t>
      </w:r>
      <w:r w:rsidR="003E447A">
        <w:t>u</w:t>
      </w:r>
      <w:r>
        <w:t xml:space="preserve"> hodnotu velkoobchodu prostřednictvím internetu, která v přidané hodnotě ICT sektoru není zahrnuta. </w:t>
      </w:r>
      <w:r w:rsidRPr="00E07624">
        <w:rPr>
          <w:b/>
        </w:rPr>
        <w:t>Odhadujeme, že jádro internetové ekonomiky se pohybuje přibližně v intervalu 65 - 75 % přidané hodnoty ICT sektoru</w:t>
      </w:r>
      <w:r>
        <w:t xml:space="preserve">, </w:t>
      </w:r>
      <w:r w:rsidRPr="00705E27">
        <w:rPr>
          <w:b/>
        </w:rPr>
        <w:t>což v roce 2011 odpovídalo 2,73 - 3,15 % HDP ČR.</w:t>
      </w:r>
      <w:r>
        <w:t xml:space="preserve"> </w:t>
      </w:r>
    </w:p>
    <w:p w:rsidR="006732A5" w:rsidRPr="00705E27" w:rsidRDefault="006732A5" w:rsidP="006732A5">
      <w:pPr>
        <w:spacing w:line="360" w:lineRule="auto"/>
        <w:rPr>
          <w:b/>
        </w:rPr>
      </w:pPr>
      <w:r>
        <w:t xml:space="preserve">Ve srovnání se studií BCG (2011), která přisuzovala internetové ekonomice 3,6 % HDP již v roce 2009, se může zdát, že jde o relativně nízké číslo. Není to však dáno tím, že by velikost internetové ekonomiky klesala (ta naopak stoupá), ale je to dáno především odlišnou metodologií. </w:t>
      </w:r>
      <w:r w:rsidRPr="00705E27">
        <w:rPr>
          <w:b/>
        </w:rPr>
        <w:t>Velikost internetové ekonomiky ve velikosti přibližně 3 % je však pouhé jádro internetové ekonomiky. Internetová ekonomika má ve skutečnosti na HDP České republiky daleko zásadnější vliv.</w:t>
      </w:r>
    </w:p>
    <w:p w:rsidR="006732A5" w:rsidRDefault="006732A5" w:rsidP="006732A5">
      <w:pPr>
        <w:spacing w:line="360" w:lineRule="auto"/>
      </w:pPr>
      <w:r>
        <w:t>Následující graf ukazuje postavení ICT sektoru v rámci všech hlavních odvětví v ekonomice, zároveň ukazuje postavení odhadované velikosti internetové ekonomiky, respektive střední hodnotu odhadované velikosti.</w:t>
      </w:r>
    </w:p>
    <w:p w:rsidR="00FA32E3" w:rsidRDefault="00FA32E3" w:rsidP="006732A5">
      <w:pPr>
        <w:spacing w:line="360" w:lineRule="auto"/>
      </w:pPr>
    </w:p>
    <w:p w:rsidR="00FA32E3" w:rsidRDefault="00FA32E3" w:rsidP="006732A5">
      <w:pPr>
        <w:spacing w:line="360" w:lineRule="auto"/>
      </w:pPr>
    </w:p>
    <w:p w:rsidR="00FA32E3" w:rsidRDefault="00FA32E3" w:rsidP="006732A5">
      <w:pPr>
        <w:spacing w:line="360" w:lineRule="auto"/>
      </w:pPr>
    </w:p>
    <w:p w:rsidR="00FA32E3" w:rsidRDefault="00FA32E3" w:rsidP="006732A5">
      <w:pPr>
        <w:spacing w:line="360" w:lineRule="auto"/>
      </w:pPr>
    </w:p>
    <w:p w:rsidR="00FA32E3" w:rsidRDefault="00FA32E3" w:rsidP="006732A5">
      <w:pPr>
        <w:spacing w:line="360" w:lineRule="auto"/>
      </w:pPr>
    </w:p>
    <w:p w:rsidR="00FA32E3" w:rsidRDefault="00FA32E3" w:rsidP="006732A5">
      <w:pPr>
        <w:spacing w:line="360" w:lineRule="auto"/>
      </w:pPr>
    </w:p>
    <w:p w:rsidR="00FA32E3" w:rsidRDefault="00FA32E3" w:rsidP="006732A5">
      <w:pPr>
        <w:spacing w:line="360" w:lineRule="auto"/>
      </w:pPr>
    </w:p>
    <w:p w:rsidR="00FA32E3" w:rsidRDefault="00FA32E3" w:rsidP="006732A5">
      <w:pPr>
        <w:spacing w:line="360" w:lineRule="auto"/>
      </w:pPr>
    </w:p>
    <w:p w:rsidR="00FA32E3" w:rsidRDefault="00FA32E3" w:rsidP="006732A5">
      <w:pPr>
        <w:spacing w:line="360" w:lineRule="auto"/>
      </w:pPr>
    </w:p>
    <w:p w:rsidR="00FA32E3" w:rsidRDefault="00FA32E3" w:rsidP="006732A5">
      <w:pPr>
        <w:spacing w:line="360" w:lineRule="auto"/>
      </w:pPr>
    </w:p>
    <w:p w:rsidR="006732A5" w:rsidRDefault="006732A5" w:rsidP="006732A5">
      <w:pPr>
        <w:pStyle w:val="Titulek"/>
      </w:pPr>
      <w:r>
        <w:lastRenderedPageBreak/>
        <w:t xml:space="preserve">Graf </w:t>
      </w:r>
      <w:fldSimple w:instr=" SEQ Graf \* ARABIC ">
        <w:r w:rsidR="00A828CC">
          <w:rPr>
            <w:noProof/>
          </w:rPr>
          <w:t>2</w:t>
        </w:r>
      </w:fldSimple>
      <w:r>
        <w:t>: Hrubá přidaná hodnota odvětví (v % HPH ČR v roce 2011)</w:t>
      </w:r>
    </w:p>
    <w:p w:rsidR="006732A5" w:rsidRDefault="006732A5" w:rsidP="006732A5">
      <w:r w:rsidRPr="00274616">
        <w:rPr>
          <w:noProof/>
          <w:lang w:eastAsia="cs-CZ"/>
        </w:rPr>
        <w:drawing>
          <wp:inline distT="0" distB="0" distL="0" distR="0">
            <wp:extent cx="5629275" cy="4048125"/>
            <wp:effectExtent l="19050" t="0" r="9525"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828CC" w:rsidRPr="00A828CC" w:rsidRDefault="00A828CC" w:rsidP="006732A5">
      <w:pPr>
        <w:rPr>
          <w:i/>
        </w:rPr>
      </w:pPr>
      <w:r>
        <w:rPr>
          <w:i/>
        </w:rPr>
        <w:t>Poznámka: velikost internetové ekonomiky je dopočítaný sloupec podle střední hodnoty odhadovaného rozmezí její velikosti</w:t>
      </w:r>
    </w:p>
    <w:p w:rsidR="006732A5" w:rsidRPr="00274616" w:rsidRDefault="006732A5" w:rsidP="006732A5">
      <w:r>
        <w:t>Zdroj: EEIP, ČSÚ (2013)</w:t>
      </w:r>
    </w:p>
    <w:p w:rsidR="0001507A" w:rsidRDefault="0001507A" w:rsidP="006732A5">
      <w:pPr>
        <w:spacing w:line="360" w:lineRule="auto"/>
      </w:pPr>
    </w:p>
    <w:p w:rsidR="006732A5" w:rsidRDefault="006732A5" w:rsidP="006732A5">
      <w:pPr>
        <w:pStyle w:val="Odstavecseseznamem"/>
        <w:numPr>
          <w:ilvl w:val="0"/>
          <w:numId w:val="24"/>
        </w:numPr>
        <w:spacing w:line="360" w:lineRule="auto"/>
        <w:rPr>
          <w:b/>
        </w:rPr>
      </w:pPr>
      <w:r>
        <w:rPr>
          <w:b/>
        </w:rPr>
        <w:t>Vnější kruh</w:t>
      </w:r>
    </w:p>
    <w:p w:rsidR="006732A5" w:rsidRDefault="006732A5" w:rsidP="006732A5">
      <w:pPr>
        <w:spacing w:line="360" w:lineRule="auto"/>
      </w:pPr>
      <w:r>
        <w:t>Tento kruh znázorňuje ekonomické benefity on-line reklamy, e-commerce (B2B i B2C) a výhod spotřebitele s e-commerce spojeným, které nejsou obsaženy v přidané hodnotě ICT sektoru. V případě spotřebite</w:t>
      </w:r>
      <w:r w:rsidR="008F7862">
        <w:t>le</w:t>
      </w:r>
      <w:r>
        <w:t xml:space="preserve"> se jedná o spotřebitelský přebytek, který není zobrazen v hrubé přidané hodnotě a také úspory času z důvodu efektivnějšího vyhledávání zboží na internetu. </w:t>
      </w:r>
    </w:p>
    <w:p w:rsidR="006732A5" w:rsidRDefault="006732A5" w:rsidP="006732A5">
      <w:pPr>
        <w:pStyle w:val="Titulek"/>
      </w:pPr>
      <w:r>
        <w:t xml:space="preserve">Box </w:t>
      </w:r>
      <w:fldSimple w:instr=" SEQ Box \* ARABIC ">
        <w:r w:rsidR="00A828CC">
          <w:rPr>
            <w:noProof/>
          </w:rPr>
          <w:t>2</w:t>
        </w:r>
      </w:fldSimple>
      <w:r>
        <w:t>: Definice e-commerce podle Eurostatu</w:t>
      </w:r>
    </w:p>
    <w:tbl>
      <w:tblPr>
        <w:tblStyle w:val="Mkatabulky"/>
        <w:tblW w:w="0" w:type="auto"/>
        <w:tblLook w:val="04A0"/>
      </w:tblPr>
      <w:tblGrid>
        <w:gridCol w:w="9210"/>
      </w:tblGrid>
      <w:tr w:rsidR="008F7862" w:rsidTr="0001507A">
        <w:tc>
          <w:tcPr>
            <w:tcW w:w="9210" w:type="dxa"/>
          </w:tcPr>
          <w:p w:rsidR="008F7862" w:rsidRPr="00745F85" w:rsidRDefault="008F7862" w:rsidP="0001507A">
            <w:pPr>
              <w:rPr>
                <w:color w:val="000000"/>
                <w:sz w:val="27"/>
                <w:szCs w:val="27"/>
              </w:rPr>
            </w:pPr>
            <w:r w:rsidRPr="00745F85">
              <w:t>Podle široké definice OECD, z které vychází i Eurostat, jsou za e-commerce považovány transakce za nákup či prodej zboží a služeb mezi domácnostmi, podniky, jednotlivci, vládními organizacemi nebo jinými veřejnými či soukromými institucemi prováděné přes počítačem zprostředkované sítě. Přičemž rozhodující je, zda jsou služby či zboží objednány přes internet, bez ohledu na to, jak proběhne platba a doručení. Ve statistice obratu firem z e-commerce není zahrnut finanční sektor.</w:t>
            </w:r>
          </w:p>
        </w:tc>
      </w:tr>
    </w:tbl>
    <w:p w:rsidR="006732A5" w:rsidRDefault="006732A5" w:rsidP="006732A5"/>
    <w:p w:rsidR="008F7862" w:rsidRPr="00745F85" w:rsidRDefault="008F7862" w:rsidP="006732A5"/>
    <w:p w:rsidR="006732A5" w:rsidRDefault="006732A5" w:rsidP="006732A5">
      <w:pPr>
        <w:spacing w:line="360" w:lineRule="auto"/>
      </w:pPr>
      <w:r>
        <w:lastRenderedPageBreak/>
        <w:t>Podobně jako elektřina je internet průřezovou technologií (i kdy</w:t>
      </w:r>
      <w:r w:rsidR="00D41BFB">
        <w:t>ž zatím ne tak důležitou). Internet</w:t>
      </w:r>
      <w:r>
        <w:t xml:space="preserve"> vstupuje do dalších odvětví ekonomiky v podobě úspor nákladů na distribuci. V konečném důsledku tak umožňuje snížení cen a pochopitelně nárůst spotřeby, která je zaznamenána v přidané hodnotě dalších odvětví ekonomiky. Internetová ekonomika tak průřezově zvyšuje přidanou hodnotu napříč odvětvími, přestože není zaznamenána v podílu přidané hodnoty internetové ekonomiky na HDP. Internetová reklama navíc umožňuje s relativně nízkými náklady propagaci produktu, což spotřebiteli přináší možnost být informovaným spotřebite</w:t>
      </w:r>
      <w:r w:rsidR="008F7862">
        <w:t>lem, aniž by musel platit vyšší</w:t>
      </w:r>
      <w:r>
        <w:t xml:space="preserve"> marketingové náklady, promítnuté v ceně zboží.</w:t>
      </w:r>
    </w:p>
    <w:p w:rsidR="006732A5" w:rsidRDefault="006732A5" w:rsidP="006732A5">
      <w:pPr>
        <w:spacing w:line="360" w:lineRule="auto"/>
      </w:pPr>
      <w:r>
        <w:t xml:space="preserve">B2C e-commerce kromě nižších cen umožňuje spotřebiteli větší výběr a úsporu časových nákladů při výběru zboží. To platí i v případě, kdy si nakonec vybranou věc pořídí v kamenném obchodě, pokud výběr učinil na internetu. </w:t>
      </w:r>
    </w:p>
    <w:p w:rsidR="006732A5" w:rsidRPr="006E0CD1" w:rsidRDefault="006732A5" w:rsidP="006732A5">
      <w:pPr>
        <w:spacing w:line="360" w:lineRule="auto"/>
        <w:rPr>
          <w:b/>
          <w:i/>
        </w:rPr>
      </w:pPr>
      <w:r w:rsidRPr="006E0CD1">
        <w:rPr>
          <w:b/>
          <w:i/>
        </w:rPr>
        <w:t xml:space="preserve">První vnější kruh se tak promítne na vyšší produktivitě průřezově v mnoha odvětvích a ve výsledku i na vyšší přidané hodnotě. Kromě toho se také promítne na </w:t>
      </w:r>
      <w:r>
        <w:rPr>
          <w:b/>
          <w:i/>
        </w:rPr>
        <w:t>úspoře času,</w:t>
      </w:r>
      <w:r w:rsidRPr="006E0CD1">
        <w:rPr>
          <w:b/>
          <w:i/>
        </w:rPr>
        <w:t xml:space="preserve"> větším výběru pro spotřebitele</w:t>
      </w:r>
      <w:r>
        <w:rPr>
          <w:b/>
          <w:i/>
        </w:rPr>
        <w:t xml:space="preserve"> a na jeho větším spotřebitelském přebytku</w:t>
      </w:r>
      <w:r w:rsidRPr="006E0CD1">
        <w:rPr>
          <w:b/>
          <w:i/>
        </w:rPr>
        <w:t>.</w:t>
      </w:r>
    </w:p>
    <w:p w:rsidR="006732A5" w:rsidRDefault="008F7862" w:rsidP="006732A5">
      <w:pPr>
        <w:spacing w:line="360" w:lineRule="auto"/>
      </w:pPr>
      <w:r>
        <w:t>Dle studie BC</w:t>
      </w:r>
      <w:r w:rsidR="006732A5">
        <w:t>G (2011) představovaly v roce 2009 B2B transakce přes internet 640 mld. Kč a B2C e-commerce 37 mld. Kč. Z datové části studie vyplývá, že tento podíl e-commerce stále roste- celkový podíl obratu podniků z e-commerce vzrostl od roku 2009 do roku 2012 z 19 % na 24 %.</w:t>
      </w:r>
    </w:p>
    <w:p w:rsidR="006732A5" w:rsidRDefault="006732A5" w:rsidP="006732A5">
      <w:pPr>
        <w:spacing w:line="360" w:lineRule="auto"/>
      </w:pPr>
      <w:r>
        <w:t>Dle údajů Sdružení pro internetovou reklamu (SPIR)</w:t>
      </w:r>
      <w:r>
        <w:rPr>
          <w:rStyle w:val="Znakapoznpodarou"/>
        </w:rPr>
        <w:footnoteReference w:id="18"/>
      </w:r>
      <w:r>
        <w:t xml:space="preserve"> v</w:t>
      </w:r>
      <w:r w:rsidRPr="00233AAB">
        <w:t>ýdaje do internetové reklamy přesáhly</w:t>
      </w:r>
      <w:r>
        <w:t xml:space="preserve"> v loňském roce 11 mld. Kč</w:t>
      </w:r>
      <w:r w:rsidR="008F7862">
        <w:t xml:space="preserve"> v ceníkových cenách</w:t>
      </w:r>
      <w:r>
        <w:t>, což v celkovém rozložení reklamních investic představuje 17 %.</w:t>
      </w:r>
      <w:r w:rsidRPr="00233AAB">
        <w:t xml:space="preserve"> </w:t>
      </w:r>
      <w:r>
        <w:t>Nejvíce se na výdajích za internetovou reklamu podílely display reklama (49</w:t>
      </w:r>
      <w:r w:rsidR="00822FAA">
        <w:t xml:space="preserve"> %) a reklama ve vyhledávání a reklamních sítích (37 %)</w:t>
      </w:r>
      <w:r>
        <w:t xml:space="preserve">. </w:t>
      </w:r>
      <w:r w:rsidRPr="00233AAB">
        <w:t>Ve srovnání s rokem 2011 jde o čtvrtinový nárůst</w:t>
      </w:r>
      <w:r>
        <w:t>, což potvrzuje, že internet je nejdynamičtějším reklamním mediem. Následující graf ukazuje vývoj výdajů na reklamu jednotlivých mediatypů za poslední tři roky.</w:t>
      </w:r>
    </w:p>
    <w:p w:rsidR="006732A5" w:rsidRDefault="006732A5" w:rsidP="006732A5">
      <w:pPr>
        <w:spacing w:line="360" w:lineRule="auto"/>
      </w:pPr>
    </w:p>
    <w:p w:rsidR="00D96054" w:rsidRDefault="00D96054" w:rsidP="006732A5">
      <w:pPr>
        <w:spacing w:line="360" w:lineRule="auto"/>
      </w:pPr>
    </w:p>
    <w:p w:rsidR="00D96054" w:rsidRDefault="00D96054" w:rsidP="006732A5">
      <w:pPr>
        <w:spacing w:line="360" w:lineRule="auto"/>
      </w:pPr>
    </w:p>
    <w:p w:rsidR="00D96054" w:rsidRDefault="00D96054" w:rsidP="006732A5">
      <w:pPr>
        <w:spacing w:line="360" w:lineRule="auto"/>
      </w:pPr>
    </w:p>
    <w:p w:rsidR="00D96054" w:rsidRDefault="00D96054" w:rsidP="006732A5">
      <w:pPr>
        <w:spacing w:line="360" w:lineRule="auto"/>
      </w:pPr>
    </w:p>
    <w:p w:rsidR="006732A5" w:rsidRDefault="006732A5" w:rsidP="006732A5">
      <w:pPr>
        <w:pStyle w:val="Titulek"/>
      </w:pPr>
      <w:bookmarkStart w:id="7" w:name="_Ref367267082"/>
      <w:r>
        <w:lastRenderedPageBreak/>
        <w:t xml:space="preserve">Graf </w:t>
      </w:r>
      <w:fldSimple w:instr=" SEQ Graf \* ARABIC ">
        <w:r w:rsidR="00A828CC">
          <w:rPr>
            <w:noProof/>
          </w:rPr>
          <w:t>3</w:t>
        </w:r>
      </w:fldSimple>
      <w:bookmarkEnd w:id="7"/>
      <w:r>
        <w:t>: Výkon jednotlivých mediatypů v posledních 3 letech (v mld. Kč)</w:t>
      </w:r>
    </w:p>
    <w:p w:rsidR="006732A5" w:rsidRPr="00960289" w:rsidRDefault="006732A5" w:rsidP="006732A5">
      <w:r w:rsidRPr="00960289">
        <w:rPr>
          <w:noProof/>
          <w:lang w:eastAsia="cs-CZ"/>
        </w:rPr>
        <w:drawing>
          <wp:inline distT="0" distB="0" distL="0" distR="0">
            <wp:extent cx="5759450" cy="3429000"/>
            <wp:effectExtent l="19050" t="0" r="12700" b="0"/>
            <wp:docPr id="2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22FAA" w:rsidRDefault="006732A5" w:rsidP="006732A5">
      <w:pPr>
        <w:spacing w:line="360" w:lineRule="auto"/>
      </w:pPr>
      <w:r>
        <w:t>Zdroj: SPIR, ppm factum, Admosphere, 2013</w:t>
      </w:r>
      <w:r w:rsidR="00822FAA">
        <w:t xml:space="preserve"> Pozn.: ve výkonech rádií nejsou obsaženy regionální prodeje</w:t>
      </w:r>
    </w:p>
    <w:p w:rsidR="006732A5" w:rsidRDefault="006732A5" w:rsidP="006732A5">
      <w:pPr>
        <w:spacing w:line="360" w:lineRule="auto"/>
      </w:pPr>
    </w:p>
    <w:p w:rsidR="006732A5" w:rsidRDefault="006732A5" w:rsidP="006732A5">
      <w:pPr>
        <w:pStyle w:val="Odstavecseseznamem"/>
        <w:numPr>
          <w:ilvl w:val="0"/>
          <w:numId w:val="24"/>
        </w:numPr>
        <w:spacing w:line="360" w:lineRule="auto"/>
        <w:rPr>
          <w:b/>
        </w:rPr>
      </w:pPr>
      <w:r>
        <w:rPr>
          <w:b/>
        </w:rPr>
        <w:t>Vnější kruh</w:t>
      </w:r>
    </w:p>
    <w:p w:rsidR="006732A5" w:rsidRDefault="006732A5" w:rsidP="006732A5">
      <w:pPr>
        <w:spacing w:line="360" w:lineRule="auto"/>
      </w:pPr>
      <w:r>
        <w:t>Tento kruh zobrazuje přínos internetu k</w:t>
      </w:r>
      <w:r w:rsidR="00822FAA">
        <w:t>e</w:t>
      </w:r>
      <w:r>
        <w:t xml:space="preserve"> zvýšení produktivity práce v ostatních odvětvích ekonomiky a to zejména vlivem </w:t>
      </w:r>
      <w:r w:rsidRPr="001A618F">
        <w:rPr>
          <w:b/>
        </w:rPr>
        <w:t>optimalizace vnitřních procesů</w:t>
      </w:r>
      <w:r w:rsidRPr="001A618F">
        <w:rPr>
          <w:rStyle w:val="Znakapoznpodarou"/>
          <w:b/>
        </w:rPr>
        <w:footnoteReference w:id="19"/>
      </w:r>
      <w:r w:rsidRPr="001A618F">
        <w:rPr>
          <w:b/>
        </w:rPr>
        <w:t xml:space="preserve"> organizace a zjednodušenému přístupu k informacím</w:t>
      </w:r>
      <w:r>
        <w:t>, což má ve výsledku pozitivní dopad na náklady organizace a produktivitu zaměstnanců. Podobně jako 1. vnější kruh, má i tento pozitivní dopad na produktivitu práce v ostatních odvětvích ekonomiky. Zatímco u předchozího kruhu se jednalo o úspory nákladů způsobené on-line reklamou a využitím e-commerce, tak zde se jedná o benefity spojené s optimalizací vnitřních procesů a jednodušším vyhledávání informací zaměstnanců, kteří vyhledávání informací ke své práci potřebují. Tento aspekt vlivu internetové ekonomiky opět není měřitelný v rámci vnitřního kruhu přidané hodnoty ICT sektoru, ale zvyšuje produktivitu práce v ostatních odvětvích, a tedy ve výsledku i přidanou hodnotu, vytvářenou v ostatních odvětvích. To opět potvrzuje, že internetová ekonomika je průřezovým odvětvím.</w:t>
      </w:r>
    </w:p>
    <w:p w:rsidR="006732A5" w:rsidRPr="001910A7" w:rsidRDefault="006732A5" w:rsidP="006732A5">
      <w:pPr>
        <w:spacing w:line="360" w:lineRule="auto"/>
        <w:rPr>
          <w:b/>
        </w:rPr>
      </w:pPr>
      <w:r>
        <w:t xml:space="preserve">Studie McKinsey od Rausas et al., 2011 (dále McKinsey 2011) odhaduje, že přidaná hodnota vytvořená přímo internetovými společnostmi je přibližně třikrát menší, než přidaná hodnota </w:t>
      </w:r>
      <w:r>
        <w:lastRenderedPageBreak/>
        <w:t>vygenerovaná díky internetu firmami z tradičních odvětví (24,6 % vs. 75,4 %)</w:t>
      </w:r>
      <w:r>
        <w:rPr>
          <w:rStyle w:val="Znakapoznpodarou"/>
        </w:rPr>
        <w:footnoteReference w:id="20"/>
      </w:r>
      <w:r>
        <w:t xml:space="preserve">. Pokud předpokládáme, že podobný poměr platí pro Českou republiku, pak by byl přínos prvního a druhého vnějšího kruhu pro přidanou hodnotu třikrát větší než jádro internetové ekonomiky, tedy přibližně </w:t>
      </w:r>
      <w:r w:rsidRPr="001910A7">
        <w:rPr>
          <w:b/>
        </w:rPr>
        <w:t>8,2 – 8,45 % HDP</w:t>
      </w:r>
      <w:r>
        <w:t xml:space="preserve">. </w:t>
      </w:r>
    </w:p>
    <w:p w:rsidR="006732A5" w:rsidRDefault="006732A5" w:rsidP="006732A5">
      <w:pPr>
        <w:pStyle w:val="Odstavecseseznamem"/>
        <w:numPr>
          <w:ilvl w:val="0"/>
          <w:numId w:val="24"/>
        </w:numPr>
        <w:spacing w:line="360" w:lineRule="auto"/>
        <w:rPr>
          <w:b/>
        </w:rPr>
      </w:pPr>
      <w:r>
        <w:rPr>
          <w:b/>
        </w:rPr>
        <w:t>Vnější kruh</w:t>
      </w:r>
    </w:p>
    <w:p w:rsidR="006732A5" w:rsidRPr="003D7E38" w:rsidRDefault="006732A5" w:rsidP="006732A5">
      <w:pPr>
        <w:spacing w:line="360" w:lineRule="auto"/>
      </w:pPr>
      <w:r>
        <w:t>Poslední kruh vlivu internetové ekonomiky obsahuje ostatní benefity internetu, které nejsou pro svou povahu zaznamenány v předchozích kruzích. Jedná se například o možnost vzdělávání přes internet</w:t>
      </w:r>
      <w:r>
        <w:rPr>
          <w:rStyle w:val="Znakapoznpodarou"/>
        </w:rPr>
        <w:footnoteReference w:id="21"/>
      </w:r>
      <w:r>
        <w:t xml:space="preserve">, což umožňuje snazší transfer vědomostí a má ve výsledku pozitivní dopad na vzdělanost populace. Dalšími benefity internetu jsou sociální sítě, video chaty (umožňující snazší kontakt s přáteli), herní aplikace a vše ostatní, co nabízí internet a u čeho lidé tráví dobrovolně svůj volný čas. </w:t>
      </w:r>
    </w:p>
    <w:p w:rsidR="006732A5" w:rsidRPr="00C00349" w:rsidRDefault="006732A5" w:rsidP="006732A5">
      <w:pPr>
        <w:spacing w:line="360" w:lineRule="auto"/>
      </w:pPr>
      <w:r>
        <w:t xml:space="preserve">Přidaná hodnota lze podle výdajové metody rozdělit na soukromou spotřebu, investice, vládní výdaje a čistý export, popřípadě ještě detailnější členění. Následující kapitoly shrnují vývoj vybraných položek pro ICT sektor. </w:t>
      </w:r>
    </w:p>
    <w:p w:rsidR="006732A5" w:rsidRDefault="006732A5" w:rsidP="006732A5">
      <w:pPr>
        <w:pStyle w:val="Nadpis3"/>
        <w:numPr>
          <w:ilvl w:val="2"/>
          <w:numId w:val="1"/>
        </w:numPr>
      </w:pPr>
      <w:bookmarkStart w:id="8" w:name="_Toc368040281"/>
      <w:r>
        <w:t>Výdaje domácností a veřejné výdaje v ICT sektoru</w:t>
      </w:r>
      <w:bookmarkEnd w:id="8"/>
    </w:p>
    <w:p w:rsidR="006732A5" w:rsidRDefault="006732A5" w:rsidP="006732A5">
      <w:pPr>
        <w:spacing w:line="360" w:lineRule="auto"/>
      </w:pPr>
      <w:r>
        <w:t>V této části si ukážeme vývoj výdajů domácností na služby a zboží v ICT sektoru. Ještě dříve je však třeba zdůraznit, že sečteme-li v sektoru ICT výdaje domácností s investicemi, vládními výdaji a čistým exportem, tak výsledkem není hrubá přidaná hodnota ICT sektoru jako tomu je u výdajové metody způsobu výpočtu HDP pro celou ekonomiku. Hlavním důvodem je, že výdaje domácností jsou zde počítány na konečnou spotřebu (bez ohledu na to, v jakém odvětví byla vytvořena přidaná hodnota) a obsahují tedy i mezispotřebu. Oblast ICT v této části je definována podle mezinárodní definice CZ-COICOP a zahrnuje:</w:t>
      </w:r>
    </w:p>
    <w:p w:rsidR="006732A5" w:rsidRDefault="006732A5" w:rsidP="006732A5">
      <w:pPr>
        <w:pStyle w:val="Odstavecseseznamem"/>
        <w:numPr>
          <w:ilvl w:val="0"/>
          <w:numId w:val="32"/>
        </w:numPr>
        <w:spacing w:line="360" w:lineRule="auto"/>
      </w:pPr>
      <w:r>
        <w:t>Telefonní zařízení – pevné a bezdrátové domácí telefonní přístroje a mobilní telefony)</w:t>
      </w:r>
    </w:p>
    <w:p w:rsidR="006732A5" w:rsidRDefault="006732A5" w:rsidP="006732A5">
      <w:pPr>
        <w:pStyle w:val="Odstavecseseznamem"/>
        <w:numPr>
          <w:ilvl w:val="0"/>
          <w:numId w:val="32"/>
        </w:numPr>
        <w:spacing w:line="360" w:lineRule="auto"/>
      </w:pPr>
      <w:r>
        <w:t>Počítače a počítačové vybavení – zařízení pro zpracování dat včetně příslušného softwaru)</w:t>
      </w:r>
    </w:p>
    <w:p w:rsidR="006732A5" w:rsidRDefault="006732A5" w:rsidP="006732A5">
      <w:pPr>
        <w:pStyle w:val="Odstavecseseznamem"/>
        <w:numPr>
          <w:ilvl w:val="0"/>
          <w:numId w:val="32"/>
        </w:numPr>
        <w:spacing w:line="360" w:lineRule="auto"/>
      </w:pPr>
      <w:r>
        <w:t>Telekomunikační služby – poplatky za provoz pevného telefonu, mobilního telefonu a internetu)</w:t>
      </w:r>
    </w:p>
    <w:p w:rsidR="006732A5" w:rsidRDefault="006732A5" w:rsidP="006732A5">
      <w:pPr>
        <w:spacing w:line="360" w:lineRule="auto"/>
      </w:pPr>
      <w:r>
        <w:t>Následující graf ukazuje vývoj výdajů domácností na informační a komunikační technologie odvozený ze statistik ČSÚ z výběrového šetření odvětvové skladby výdajů domácností.</w:t>
      </w:r>
    </w:p>
    <w:p w:rsidR="006732A5" w:rsidRDefault="006732A5" w:rsidP="006732A5">
      <w:pPr>
        <w:spacing w:line="360" w:lineRule="auto"/>
      </w:pPr>
    </w:p>
    <w:p w:rsidR="006732A5" w:rsidRDefault="006732A5" w:rsidP="006732A5">
      <w:pPr>
        <w:pStyle w:val="Titulek"/>
      </w:pPr>
      <w:r>
        <w:lastRenderedPageBreak/>
        <w:t xml:space="preserve">Graf </w:t>
      </w:r>
      <w:fldSimple w:instr=" SEQ Graf \* ARABIC ">
        <w:r w:rsidR="00A828CC">
          <w:rPr>
            <w:noProof/>
          </w:rPr>
          <w:t>4</w:t>
        </w:r>
      </w:fldSimple>
      <w:r>
        <w:t>: Vývoj výdajů domácností na ICT (% celkových výdajů)</w:t>
      </w:r>
    </w:p>
    <w:p w:rsidR="006732A5" w:rsidRDefault="0001507A" w:rsidP="006732A5">
      <w:r w:rsidRPr="0001507A">
        <w:rPr>
          <w:noProof/>
          <w:lang w:eastAsia="cs-CZ"/>
        </w:rPr>
        <w:drawing>
          <wp:inline distT="0" distB="0" distL="0" distR="0">
            <wp:extent cx="5353050" cy="3200400"/>
            <wp:effectExtent l="19050" t="0" r="0" b="0"/>
            <wp:docPr id="4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353050" cy="3200400"/>
                    </a:xfrm>
                    <a:prstGeom prst="rect">
                      <a:avLst/>
                    </a:prstGeom>
                    <a:noFill/>
                    <a:ln w="9525">
                      <a:noFill/>
                      <a:miter lim="800000"/>
                      <a:headEnd/>
                      <a:tailEnd/>
                    </a:ln>
                  </pic:spPr>
                </pic:pic>
              </a:graphicData>
            </a:graphic>
          </wp:inline>
        </w:drawing>
      </w:r>
    </w:p>
    <w:p w:rsidR="006732A5" w:rsidRDefault="006732A5" w:rsidP="006732A5">
      <w:r>
        <w:t>Zdroj: EEIP, ČSÚ- Statistika rodinných účtů</w:t>
      </w:r>
      <w:r w:rsidR="0064719E">
        <w:t>, 2013</w:t>
      </w:r>
    </w:p>
    <w:p w:rsidR="006732A5" w:rsidRDefault="006732A5" w:rsidP="006732A5"/>
    <w:p w:rsidR="006732A5" w:rsidRDefault="006732A5" w:rsidP="006732A5">
      <w:pPr>
        <w:spacing w:line="360" w:lineRule="auto"/>
      </w:pPr>
      <w:r>
        <w:t>Jak je z grafu vidět, tak výdaje domácností na ICT od roku 2006 mírně klesají, což je dáno převážně zlevňováním zboží a služeb v tomto sektoru. V roce 2011 tvořily výdaje domácností na ICT 4,9 % celkových výdajů, přičemž přibližně 90,5 % výdajů na ICT byly na telekomunikační zařízení a služby a zbylých 9,5 % na zařízení pro zpracování dat.</w:t>
      </w:r>
    </w:p>
    <w:p w:rsidR="00673DF2" w:rsidRDefault="006732A5" w:rsidP="006732A5">
      <w:pPr>
        <w:spacing w:line="360" w:lineRule="auto"/>
      </w:pPr>
      <w:r>
        <w:t xml:space="preserve">Dle studie Hylmar, J. (2011) v roce 2010 přispívala veřejná správa k agregovanému dílčímu trhu označovanému jako telekomunikace a zpracování dat </w:t>
      </w:r>
      <w:r w:rsidRPr="00077F28">
        <w:rPr>
          <w:b/>
        </w:rPr>
        <w:t>16 mld. Kč ročně</w:t>
      </w:r>
      <w:r>
        <w:t>. Přesnější a aktuálnější informace o veřejných výdajích v ICT sektoru se nepodařilo nalézt.</w:t>
      </w:r>
      <w:r w:rsidR="003D50C1">
        <w:t xml:space="preserve"> Bylo však možné zjistit alespoň souhrnné částky za vypsané veřejné zakázky v odvětví informatika a telekomunikace. Následující graf ukazuje souhrnnou hodnotu veřejných zakázek realizovaných podle zákona o veřejných zakázkách, tj. mimo zakázek malého rozsahu (od 1.1.2007 do 31.12.2012).</w:t>
      </w:r>
    </w:p>
    <w:p w:rsidR="00673DF2" w:rsidRDefault="00673DF2" w:rsidP="006732A5">
      <w:pPr>
        <w:spacing w:line="360" w:lineRule="auto"/>
      </w:pPr>
    </w:p>
    <w:p w:rsidR="00FA32E3" w:rsidRDefault="00FA32E3" w:rsidP="006732A5">
      <w:pPr>
        <w:spacing w:line="360" w:lineRule="auto"/>
      </w:pPr>
    </w:p>
    <w:p w:rsidR="00FA32E3" w:rsidRDefault="00FA32E3" w:rsidP="006732A5">
      <w:pPr>
        <w:spacing w:line="360" w:lineRule="auto"/>
      </w:pPr>
    </w:p>
    <w:p w:rsidR="00FA32E3" w:rsidRDefault="00FA32E3" w:rsidP="006732A5">
      <w:pPr>
        <w:spacing w:line="360" w:lineRule="auto"/>
      </w:pPr>
    </w:p>
    <w:p w:rsidR="00FA32E3" w:rsidRDefault="00FA32E3" w:rsidP="006732A5">
      <w:pPr>
        <w:spacing w:line="360" w:lineRule="auto"/>
      </w:pPr>
    </w:p>
    <w:p w:rsidR="00FA32E3" w:rsidRDefault="00FA32E3" w:rsidP="006732A5">
      <w:pPr>
        <w:spacing w:line="360" w:lineRule="auto"/>
      </w:pPr>
    </w:p>
    <w:p w:rsidR="00FA32E3" w:rsidRDefault="00FA32E3" w:rsidP="006732A5">
      <w:pPr>
        <w:spacing w:line="360" w:lineRule="auto"/>
      </w:pPr>
    </w:p>
    <w:p w:rsidR="003D50C1" w:rsidRDefault="003D50C1" w:rsidP="003D50C1">
      <w:pPr>
        <w:pStyle w:val="Titulek"/>
      </w:pPr>
      <w:r>
        <w:t xml:space="preserve">Graf </w:t>
      </w:r>
      <w:fldSimple w:instr=" SEQ Graf \* ARABIC ">
        <w:r w:rsidR="00A828CC">
          <w:rPr>
            <w:noProof/>
          </w:rPr>
          <w:t>5</w:t>
        </w:r>
      </w:fldSimple>
      <w:r>
        <w:t xml:space="preserve">: Veřejné zakázky v ICT </w:t>
      </w:r>
      <w:r w:rsidR="00C16F2A">
        <w:t>(v mld. Kč)</w:t>
      </w:r>
    </w:p>
    <w:p w:rsidR="00C16F2A" w:rsidRDefault="00C16F2A" w:rsidP="00C16F2A">
      <w:r w:rsidRPr="00C16F2A">
        <w:rPr>
          <w:noProof/>
          <w:lang w:eastAsia="cs-CZ"/>
        </w:rPr>
        <w:drawing>
          <wp:inline distT="0" distB="0" distL="0" distR="0">
            <wp:extent cx="4724400" cy="2762250"/>
            <wp:effectExtent l="19050" t="0" r="0" b="0"/>
            <wp:docPr id="1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4724400" cy="2762250"/>
                    </a:xfrm>
                    <a:prstGeom prst="rect">
                      <a:avLst/>
                    </a:prstGeom>
                    <a:noFill/>
                    <a:ln w="9525">
                      <a:noFill/>
                      <a:miter lim="800000"/>
                      <a:headEnd/>
                      <a:tailEnd/>
                    </a:ln>
                  </pic:spPr>
                </pic:pic>
              </a:graphicData>
            </a:graphic>
          </wp:inline>
        </w:drawing>
      </w:r>
    </w:p>
    <w:p w:rsidR="00C16F2A" w:rsidRPr="00C16F2A" w:rsidRDefault="00C16F2A" w:rsidP="00C16F2A">
      <w:r>
        <w:t>Zdroj: vsechnyzakazky.cz, 2013</w:t>
      </w:r>
    </w:p>
    <w:p w:rsidR="006732A5" w:rsidRDefault="006732A5" w:rsidP="006732A5">
      <w:pPr>
        <w:spacing w:line="360" w:lineRule="auto"/>
      </w:pPr>
    </w:p>
    <w:p w:rsidR="00C16F2A" w:rsidRPr="00C55E71" w:rsidRDefault="00C16F2A" w:rsidP="006732A5">
      <w:pPr>
        <w:spacing w:line="360" w:lineRule="auto"/>
      </w:pPr>
      <w:r>
        <w:t xml:space="preserve">Od začátku roku 2007 do konce roku 2012 byly vypsány veřejné zakázky v odvětví informatika a telekomunikace v celkové hodnotě přesahující 119,7 mld. Kč, přičemž vrcholu dosáhly v letech 2008 – 2009. V roce 2012 byly vypsány ICT zakázky za 18,3 mld. Kč. Ve sledovaném odvětví byly největšími zadavateli Ministerstvo vnitra, Ministerstvo informatiky, Česká pošta, s.p., Ministerstvo financí, Ministerstvo obrany, Hlavní město Praha, Ministerstvo zemědělství, Česká správa sociálního zabezpečení a Všeobecná zdravotní pojišťovna ČR. Největšími dodavateli byly Telénonica 02 Czech Republic, a.s., </w:t>
      </w:r>
      <w:r w:rsidRPr="00C16F2A">
        <w:t>Fujitsu Technology Solutions s.r.o.</w:t>
      </w:r>
      <w:r>
        <w:t xml:space="preserve">, </w:t>
      </w:r>
      <w:r w:rsidRPr="00C16F2A">
        <w:t>IBM Česká republika, spol. s r.o.</w:t>
      </w:r>
      <w:r>
        <w:t xml:space="preserve">, </w:t>
      </w:r>
      <w:r w:rsidRPr="00C16F2A">
        <w:t>GTS NOVERA a.s.</w:t>
      </w:r>
      <w:r>
        <w:t xml:space="preserve"> a </w:t>
      </w:r>
      <w:r w:rsidRPr="00C16F2A">
        <w:t>HEWLETT-PACKARD s.r.o.</w:t>
      </w:r>
    </w:p>
    <w:p w:rsidR="006732A5" w:rsidRDefault="006732A5" w:rsidP="006732A5">
      <w:pPr>
        <w:pStyle w:val="Nadpis3"/>
        <w:numPr>
          <w:ilvl w:val="2"/>
          <w:numId w:val="1"/>
        </w:numPr>
        <w:spacing w:line="360" w:lineRule="auto"/>
      </w:pPr>
      <w:bookmarkStart w:id="9" w:name="_Toc368040282"/>
      <w:r>
        <w:t>Investice v ICT sektoru</w:t>
      </w:r>
      <w:bookmarkEnd w:id="9"/>
    </w:p>
    <w:p w:rsidR="006732A5" w:rsidRDefault="006732A5" w:rsidP="006732A5">
      <w:pPr>
        <w:spacing w:line="360" w:lineRule="auto"/>
      </w:pPr>
      <w:r>
        <w:t>Následující graf ukazuje vývoj investic v ICT sektoru od roku 1993 do roku 2011. Nejvyšší podíl investic v ICT na celkových investicích v ČR byl v letech 2000-2001. Po výrazném poklesu v roce 2002 a 2003 docházelo ke stagnaci a od roku 2009 opět k mírnému poklesu. Podíl investic v ICT vůči celkovým investicím je však stále relativně vysoký. V roce 2011 byl tento podíl dvakrát větší než podíl přidané hodnoty z ICT sektoru na HDP ČR.</w:t>
      </w:r>
    </w:p>
    <w:p w:rsidR="006732A5" w:rsidRDefault="006732A5" w:rsidP="006732A5"/>
    <w:p w:rsidR="006732A5" w:rsidRDefault="006732A5" w:rsidP="006732A5"/>
    <w:p w:rsidR="006E5C0D" w:rsidRDefault="006E5C0D" w:rsidP="006732A5"/>
    <w:p w:rsidR="006732A5" w:rsidRDefault="006732A5" w:rsidP="006732A5"/>
    <w:p w:rsidR="00FA32E3" w:rsidRDefault="00FA32E3" w:rsidP="006732A5"/>
    <w:p w:rsidR="006732A5" w:rsidRPr="00692A5F" w:rsidRDefault="006732A5" w:rsidP="006732A5">
      <w:pPr>
        <w:pStyle w:val="Titulek"/>
      </w:pPr>
      <w:r>
        <w:t xml:space="preserve">Graf </w:t>
      </w:r>
      <w:fldSimple w:instr=" SEQ Graf \* ARABIC ">
        <w:r w:rsidR="00A828CC">
          <w:rPr>
            <w:noProof/>
          </w:rPr>
          <w:t>6</w:t>
        </w:r>
      </w:fldSimple>
      <w:r>
        <w:t>: Vývoj investic v ICT sektoru v České republice</w:t>
      </w:r>
      <w:r w:rsidR="0064719E">
        <w:t xml:space="preserve"> (1993 – 2011)</w:t>
      </w:r>
    </w:p>
    <w:p w:rsidR="006732A5" w:rsidRDefault="006732A5" w:rsidP="006732A5">
      <w:pPr>
        <w:spacing w:line="360" w:lineRule="auto"/>
        <w:jc w:val="left"/>
      </w:pPr>
      <w:r>
        <w:rPr>
          <w:noProof/>
          <w:lang w:eastAsia="cs-CZ"/>
        </w:rPr>
        <w:drawing>
          <wp:inline distT="0" distB="0" distL="0" distR="0">
            <wp:extent cx="5899474" cy="3419475"/>
            <wp:effectExtent l="19050" t="0" r="6026" b="0"/>
            <wp:docPr id="13" name="Obrázek 4" descr="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7524" cy="3418345"/>
                    </a:xfrm>
                    <a:prstGeom prst="rect">
                      <a:avLst/>
                    </a:prstGeom>
                    <a:noFill/>
                    <a:ln>
                      <a:noFill/>
                    </a:ln>
                  </pic:spPr>
                </pic:pic>
              </a:graphicData>
            </a:graphic>
          </wp:inline>
        </w:drawing>
      </w:r>
    </w:p>
    <w:p w:rsidR="006732A5" w:rsidRDefault="0064719E" w:rsidP="006732A5">
      <w:pPr>
        <w:spacing w:line="360" w:lineRule="auto"/>
        <w:jc w:val="left"/>
      </w:pPr>
      <w:r>
        <w:t>Zdroj: ČSÚ, 2013</w:t>
      </w:r>
    </w:p>
    <w:p w:rsidR="006732A5" w:rsidRDefault="006732A5" w:rsidP="0064719E">
      <w:pPr>
        <w:spacing w:line="360" w:lineRule="auto"/>
      </w:pPr>
      <w:r>
        <w:t xml:space="preserve">Relativně vysoký podíl investic v ICT sektoru je dán především tím, že se jedná o dynamicky rostoucí odvětví, které pro svůj rozvoj potřebuje rozšiřovat a zkvalitňovat infrastrukturu. </w:t>
      </w:r>
    </w:p>
    <w:p w:rsidR="00FA32E3" w:rsidRDefault="00FA32E3" w:rsidP="0064719E">
      <w:pPr>
        <w:spacing w:line="360" w:lineRule="auto"/>
      </w:pPr>
    </w:p>
    <w:p w:rsidR="006732A5" w:rsidRDefault="006732A5" w:rsidP="006732A5">
      <w:pPr>
        <w:pStyle w:val="Nadpis3"/>
        <w:numPr>
          <w:ilvl w:val="2"/>
          <w:numId w:val="1"/>
        </w:numPr>
      </w:pPr>
      <w:bookmarkStart w:id="10" w:name="_Toc368040283"/>
      <w:r>
        <w:t>Výdaje na vědu a výzkum v ICT sektoru</w:t>
      </w:r>
      <w:bookmarkEnd w:id="10"/>
    </w:p>
    <w:p w:rsidR="00FA32E3" w:rsidRPr="00FA32E3" w:rsidRDefault="00FA32E3" w:rsidP="00FA32E3"/>
    <w:p w:rsidR="006732A5" w:rsidRDefault="006732A5" w:rsidP="006732A5">
      <w:pPr>
        <w:spacing w:line="360" w:lineRule="auto"/>
      </w:pPr>
      <w:r>
        <w:t>Speciální kategorií v rámci firemních investic jsou výdaje na vědu a výzkum. Následující grafy shrnují vývoj výdajů na vědu a výzkum provedených v ICT sektoru a jejich rozklad podle skupin činností.</w:t>
      </w:r>
    </w:p>
    <w:p w:rsidR="00FA32E3" w:rsidRDefault="00FA32E3" w:rsidP="006732A5">
      <w:pPr>
        <w:spacing w:line="360" w:lineRule="auto"/>
      </w:pPr>
    </w:p>
    <w:p w:rsidR="00FA32E3" w:rsidRDefault="00FA32E3" w:rsidP="006732A5">
      <w:pPr>
        <w:spacing w:line="360" w:lineRule="auto"/>
      </w:pPr>
    </w:p>
    <w:p w:rsidR="00FA32E3" w:rsidRDefault="00FA32E3" w:rsidP="006732A5">
      <w:pPr>
        <w:spacing w:line="360" w:lineRule="auto"/>
      </w:pPr>
    </w:p>
    <w:p w:rsidR="00FA32E3" w:rsidRDefault="00FA32E3" w:rsidP="006732A5">
      <w:pPr>
        <w:spacing w:line="360" w:lineRule="auto"/>
      </w:pPr>
    </w:p>
    <w:p w:rsidR="00FA32E3" w:rsidRDefault="00FA32E3" w:rsidP="006732A5">
      <w:pPr>
        <w:spacing w:line="360" w:lineRule="auto"/>
      </w:pPr>
    </w:p>
    <w:p w:rsidR="00FA32E3" w:rsidRDefault="00FA32E3" w:rsidP="006732A5">
      <w:pPr>
        <w:spacing w:line="360" w:lineRule="auto"/>
      </w:pPr>
    </w:p>
    <w:p w:rsidR="00FA32E3" w:rsidRDefault="00FA32E3" w:rsidP="006732A5">
      <w:pPr>
        <w:pStyle w:val="Titulek"/>
      </w:pPr>
    </w:p>
    <w:p w:rsidR="006732A5" w:rsidRDefault="006732A5" w:rsidP="006732A5">
      <w:pPr>
        <w:pStyle w:val="Titulek"/>
      </w:pPr>
      <w:r>
        <w:lastRenderedPageBreak/>
        <w:t xml:space="preserve">Graf </w:t>
      </w:r>
      <w:fldSimple w:instr=" SEQ Graf \* ARABIC ">
        <w:r w:rsidR="00A828CC">
          <w:rPr>
            <w:noProof/>
          </w:rPr>
          <w:t>7</w:t>
        </w:r>
      </w:fldSimple>
      <w:r>
        <w:t>: Výdaje za VaV v ICT sektoru</w:t>
      </w:r>
    </w:p>
    <w:p w:rsidR="006732A5" w:rsidRPr="001B25EA" w:rsidRDefault="00673DF2" w:rsidP="006732A5">
      <w:r w:rsidRPr="00673DF2">
        <w:rPr>
          <w:noProof/>
          <w:lang w:eastAsia="cs-CZ"/>
        </w:rPr>
        <w:drawing>
          <wp:inline distT="0" distB="0" distL="0" distR="0">
            <wp:extent cx="4152900" cy="4615939"/>
            <wp:effectExtent l="19050" t="0" r="0" b="0"/>
            <wp:docPr id="4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4159246" cy="4622993"/>
                    </a:xfrm>
                    <a:prstGeom prst="rect">
                      <a:avLst/>
                    </a:prstGeom>
                    <a:noFill/>
                    <a:ln w="9525">
                      <a:noFill/>
                      <a:miter lim="800000"/>
                      <a:headEnd/>
                      <a:tailEnd/>
                    </a:ln>
                  </pic:spPr>
                </pic:pic>
              </a:graphicData>
            </a:graphic>
          </wp:inline>
        </w:drawing>
      </w:r>
    </w:p>
    <w:p w:rsidR="006732A5" w:rsidRDefault="006732A5" w:rsidP="006732A5">
      <w:r>
        <w:t>Zdroj: ČSÚ, Roční šetření o výzkumu a vývoji VTR 5-01</w:t>
      </w:r>
    </w:p>
    <w:p w:rsidR="006732A5" w:rsidRDefault="006732A5" w:rsidP="006732A5"/>
    <w:p w:rsidR="006732A5" w:rsidRDefault="006732A5" w:rsidP="006732A5">
      <w:pPr>
        <w:spacing w:line="360" w:lineRule="auto"/>
      </w:pPr>
      <w:r>
        <w:t>Grafy ukazují, že v roce 2011 činily výdaje za VaV v ICT sektoru 5,64 mld. Kč, což činilo 8% podíl na celkových výdajích za VaV v ČR. Největší podíl činily IT služby, téměř 80 % na celkových VaV výdajích v ICT.</w:t>
      </w:r>
    </w:p>
    <w:p w:rsidR="006732A5" w:rsidRDefault="006732A5" w:rsidP="006732A5">
      <w:pPr>
        <w:pStyle w:val="Nadpis3"/>
        <w:numPr>
          <w:ilvl w:val="2"/>
          <w:numId w:val="1"/>
        </w:numPr>
      </w:pPr>
      <w:bookmarkStart w:id="11" w:name="_Toc368040284"/>
      <w:r>
        <w:t>Zahraniční obchod</w:t>
      </w:r>
      <w:bookmarkEnd w:id="11"/>
    </w:p>
    <w:p w:rsidR="006732A5" w:rsidRDefault="006732A5" w:rsidP="006732A5"/>
    <w:p w:rsidR="006732A5" w:rsidRDefault="006732A5" w:rsidP="006732A5">
      <w:r>
        <w:t>Následující 2 grafy ukazují vývoj zahraničního obchodu ICT zboží a ICT služeb od roku 1993 do roku 2011.</w:t>
      </w:r>
    </w:p>
    <w:p w:rsidR="00FA32E3" w:rsidRDefault="00FA32E3" w:rsidP="006732A5"/>
    <w:p w:rsidR="00FA32E3" w:rsidRDefault="00FA32E3" w:rsidP="006732A5"/>
    <w:p w:rsidR="00FA32E3" w:rsidRDefault="00FA32E3" w:rsidP="006732A5"/>
    <w:p w:rsidR="00FA32E3" w:rsidRDefault="00FA32E3" w:rsidP="006732A5"/>
    <w:p w:rsidR="00FA32E3" w:rsidRDefault="00FA32E3" w:rsidP="006732A5"/>
    <w:p w:rsidR="00FA32E3" w:rsidRDefault="00FA32E3" w:rsidP="006732A5">
      <w:pPr>
        <w:pStyle w:val="Titulek"/>
        <w:rPr>
          <w:rFonts w:ascii="Garamond" w:hAnsi="Garamond"/>
          <w:bCs w:val="0"/>
          <w:i w:val="0"/>
          <w:sz w:val="24"/>
          <w:szCs w:val="22"/>
        </w:rPr>
      </w:pPr>
    </w:p>
    <w:p w:rsidR="00FA32E3" w:rsidRPr="00FA32E3" w:rsidRDefault="00FA32E3" w:rsidP="00FA32E3"/>
    <w:p w:rsidR="006732A5" w:rsidRPr="005F792E" w:rsidRDefault="006732A5" w:rsidP="006732A5">
      <w:pPr>
        <w:pStyle w:val="Titulek"/>
      </w:pPr>
      <w:r>
        <w:t xml:space="preserve">Graf </w:t>
      </w:r>
      <w:fldSimple w:instr=" SEQ Graf \* ARABIC ">
        <w:r w:rsidR="00A828CC">
          <w:rPr>
            <w:noProof/>
          </w:rPr>
          <w:t>8</w:t>
        </w:r>
      </w:fldSimple>
      <w:r>
        <w:t>: Vývoj zahraničního obchodu ICT zboží v</w:t>
      </w:r>
      <w:r w:rsidR="00A828CC">
        <w:t> </w:t>
      </w:r>
      <w:r>
        <w:t>ČR</w:t>
      </w:r>
      <w:r w:rsidR="00A828CC">
        <w:t xml:space="preserve"> (1993 – 2011)</w:t>
      </w:r>
    </w:p>
    <w:p w:rsidR="006732A5" w:rsidRDefault="006732A5" w:rsidP="006732A5">
      <w:pPr>
        <w:spacing w:line="360" w:lineRule="auto"/>
        <w:jc w:val="left"/>
      </w:pPr>
      <w:r>
        <w:rPr>
          <w:noProof/>
          <w:lang w:eastAsia="cs-CZ"/>
        </w:rPr>
        <w:drawing>
          <wp:inline distT="0" distB="0" distL="0" distR="0">
            <wp:extent cx="5760720" cy="3796510"/>
            <wp:effectExtent l="0" t="0" r="0" b="0"/>
            <wp:docPr id="15" name="Obrázek 2" descr="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f"/>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796510"/>
                    </a:xfrm>
                    <a:prstGeom prst="rect">
                      <a:avLst/>
                    </a:prstGeom>
                    <a:noFill/>
                    <a:ln>
                      <a:noFill/>
                    </a:ln>
                  </pic:spPr>
                </pic:pic>
              </a:graphicData>
            </a:graphic>
          </wp:inline>
        </w:drawing>
      </w:r>
    </w:p>
    <w:p w:rsidR="00A828CC" w:rsidRDefault="00A828CC" w:rsidP="006732A5">
      <w:pPr>
        <w:spacing w:line="360" w:lineRule="auto"/>
        <w:jc w:val="left"/>
      </w:pPr>
      <w:r>
        <w:t>Zdroj: ČSÚ, 2013</w:t>
      </w:r>
    </w:p>
    <w:p w:rsidR="006732A5" w:rsidRDefault="006732A5" w:rsidP="00A828CC">
      <w:pPr>
        <w:pStyle w:val="Titulek"/>
        <w:tabs>
          <w:tab w:val="left" w:pos="5640"/>
        </w:tabs>
      </w:pPr>
      <w:bookmarkStart w:id="12" w:name="_Ref366150752"/>
      <w:r>
        <w:t xml:space="preserve">Graf </w:t>
      </w:r>
      <w:fldSimple w:instr=" SEQ Graf \* ARABIC ">
        <w:r w:rsidR="00A828CC">
          <w:rPr>
            <w:noProof/>
          </w:rPr>
          <w:t>9</w:t>
        </w:r>
      </w:fldSimple>
      <w:bookmarkEnd w:id="12"/>
      <w:r>
        <w:t>: Vývoj zahraničního obchodu ICT služeb v ČR</w:t>
      </w:r>
      <w:r w:rsidR="00A828CC">
        <w:t xml:space="preserve"> (1993 – 2011) </w:t>
      </w:r>
    </w:p>
    <w:p w:rsidR="006732A5" w:rsidRDefault="006732A5" w:rsidP="006732A5">
      <w:pPr>
        <w:spacing w:line="360" w:lineRule="auto"/>
        <w:jc w:val="left"/>
      </w:pPr>
      <w:r>
        <w:rPr>
          <w:noProof/>
          <w:lang w:eastAsia="cs-CZ"/>
        </w:rPr>
        <w:drawing>
          <wp:inline distT="0" distB="0" distL="0" distR="0">
            <wp:extent cx="5760720" cy="3355242"/>
            <wp:effectExtent l="0" t="0" r="0" b="0"/>
            <wp:docPr id="16" name="Obrázek 3" descr="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355242"/>
                    </a:xfrm>
                    <a:prstGeom prst="rect">
                      <a:avLst/>
                    </a:prstGeom>
                    <a:noFill/>
                    <a:ln>
                      <a:noFill/>
                    </a:ln>
                  </pic:spPr>
                </pic:pic>
              </a:graphicData>
            </a:graphic>
          </wp:inline>
        </w:drawing>
      </w:r>
    </w:p>
    <w:p w:rsidR="006732A5" w:rsidRDefault="00A828CC" w:rsidP="00FA32E3">
      <w:pPr>
        <w:spacing w:line="360" w:lineRule="auto"/>
        <w:jc w:val="left"/>
      </w:pPr>
      <w:r>
        <w:t>Zdroj: ČSÚ, 2013</w:t>
      </w:r>
    </w:p>
    <w:p w:rsidR="006732A5" w:rsidRDefault="006732A5" w:rsidP="006732A5">
      <w:pPr>
        <w:spacing w:line="360" w:lineRule="auto"/>
      </w:pPr>
      <w:r>
        <w:lastRenderedPageBreak/>
        <w:t xml:space="preserve">Z </w:t>
      </w:r>
      <w:r w:rsidR="00467841">
        <w:fldChar w:fldCharType="begin"/>
      </w:r>
      <w:r>
        <w:instrText xml:space="preserve"> REF _Ref366150752 \h </w:instrText>
      </w:r>
      <w:r w:rsidR="00467841">
        <w:fldChar w:fldCharType="separate"/>
      </w:r>
      <w:r w:rsidR="00A828CC">
        <w:t xml:space="preserve">grafu </w:t>
      </w:r>
      <w:r w:rsidR="00A828CC">
        <w:rPr>
          <w:noProof/>
        </w:rPr>
        <w:t>9</w:t>
      </w:r>
      <w:r w:rsidR="00467841">
        <w:fldChar w:fldCharType="end"/>
      </w:r>
      <w:r>
        <w:t xml:space="preserve"> je vidět, že zahraniční obchod s ICT zbožím od roku 1993 výrazně rostl a to i v absolutních číslech, tak co se týče podílu na celkovém dovozu a vývozu. Podle předběžných údajů za rok 2011 vývoz překonal 420 mld. Kč a podílel se tak z více jak 14 % na celkovém českém vývozu. Čistý vývoz představoval přibližně 1,5 mld. USD.</w:t>
      </w:r>
    </w:p>
    <w:p w:rsidR="006732A5" w:rsidRDefault="006732A5" w:rsidP="006732A5">
      <w:pPr>
        <w:spacing w:line="360" w:lineRule="auto"/>
      </w:pPr>
      <w:r>
        <w:t>V roce 2012 si Česká republika také výrazně polepšila v čistém vývozu ICT služeb, který vzrostl meziročně z 3,5 mld. Kč na 12,4 mld. Kč. Zahraniční obchod v ICT službách je velmi významný, neboť vývoz tvoří 16,4% podíl na celkovém vývozu služeb v ČR a dovoz ICT služeb 12,1% podíl na celkovém dovozu služeb v ČR.</w:t>
      </w:r>
    </w:p>
    <w:p w:rsidR="006732A5" w:rsidRDefault="006732A5" w:rsidP="006732A5">
      <w:pPr>
        <w:spacing w:line="360" w:lineRule="auto"/>
      </w:pPr>
    </w:p>
    <w:p w:rsidR="006732A5" w:rsidRPr="00BD2D6F" w:rsidRDefault="006732A5" w:rsidP="006732A5">
      <w:pPr>
        <w:pStyle w:val="Podtitul"/>
        <w:rPr>
          <w:rStyle w:val="Zdraznnintenzivn"/>
        </w:rPr>
      </w:pPr>
      <w:r>
        <w:rPr>
          <w:rStyle w:val="Zdraznnintenzivn"/>
        </w:rPr>
        <w:t>Závěr</w:t>
      </w:r>
      <w:r w:rsidRPr="00BD2D6F">
        <w:rPr>
          <w:rStyle w:val="Zdraznnintenzivn"/>
        </w:rPr>
        <w:t> podkapitoly:</w:t>
      </w:r>
    </w:p>
    <w:p w:rsidR="00FA32E3" w:rsidRDefault="00FA32E3" w:rsidP="006732A5">
      <w:pPr>
        <w:spacing w:line="360" w:lineRule="auto"/>
      </w:pPr>
    </w:p>
    <w:p w:rsidR="006732A5" w:rsidRDefault="006732A5" w:rsidP="006732A5">
      <w:pPr>
        <w:spacing w:line="360" w:lineRule="auto"/>
      </w:pPr>
      <w:r>
        <w:t>Internet postupem času prostupuje do všech segmentů ekonomiky a stává se nepostradatelným nástrojem k podnikání mnoha firem napříč odvětvími. S rozvojem cloud computingu a mobilních aplikací nahrazující</w:t>
      </w:r>
      <w:r w:rsidR="00822FAA">
        <w:t>ch</w:t>
      </w:r>
      <w:r>
        <w:t xml:space="preserve"> tradiční komunikační technologie pomalu srůstá pojem internetová ekonomika s celým ICT sektorem, protože většina zboží a služeb, které nejsou bezprostředně spojeny s</w:t>
      </w:r>
      <w:r w:rsidR="00822FAA">
        <w:t> </w:t>
      </w:r>
      <w:r>
        <w:t>internetem</w:t>
      </w:r>
      <w:r w:rsidR="00822FAA">
        <w:t>,</w:t>
      </w:r>
      <w:r>
        <w:t xml:space="preserve"> jsou kompl</w:t>
      </w:r>
      <w:r w:rsidR="00822FAA">
        <w:t>ementy internetu, tudíž bez</w:t>
      </w:r>
      <w:r>
        <w:t xml:space="preserve"> existence </w:t>
      </w:r>
      <w:r w:rsidR="00822FAA">
        <w:t xml:space="preserve">internetu </w:t>
      </w:r>
      <w:r>
        <w:t>by byla poptávka po nich významně omezena.</w:t>
      </w:r>
    </w:p>
    <w:p w:rsidR="006732A5" w:rsidRPr="008A6948" w:rsidRDefault="006732A5" w:rsidP="006732A5">
      <w:pPr>
        <w:spacing w:line="360" w:lineRule="auto"/>
      </w:pPr>
      <w:r>
        <w:t xml:space="preserve"> </w:t>
      </w:r>
      <w:r w:rsidRPr="00E645D0">
        <w:rPr>
          <w:b/>
        </w:rPr>
        <w:t xml:space="preserve">Velikost přidané hodnoty </w:t>
      </w:r>
      <w:r>
        <w:rPr>
          <w:b/>
        </w:rPr>
        <w:t xml:space="preserve">ICT sektoru </w:t>
      </w:r>
      <w:r w:rsidRPr="00E645D0">
        <w:rPr>
          <w:b/>
        </w:rPr>
        <w:t>byla v roce 2011 160,5 mld. Kč, což představovalo přibližně 4,2 % HDP a 4,66 % HPH České republiky.</w:t>
      </w:r>
      <w:r>
        <w:rPr>
          <w:b/>
        </w:rPr>
        <w:t xml:space="preserve"> </w:t>
      </w:r>
      <w:r w:rsidRPr="0072238D">
        <w:rPr>
          <w:b/>
        </w:rPr>
        <w:t xml:space="preserve">Jádro internetové ekonomiky přitom tvořilo dle našeho odhadu 2,73 – 3,15 % HDP. </w:t>
      </w:r>
      <w:r>
        <w:t>Kdyby byla brána internetová ekonomika jako odvětví, její přidaná hodnota by byla větší než několik tradičních odvětví</w:t>
      </w:r>
      <w:r w:rsidR="00822FAA">
        <w:t xml:space="preserve"> </w:t>
      </w:r>
      <w:r>
        <w:t>- např. zemědělství, lesnictví a rybářství; ubytování, stravování a pohostinství nebo těžba a dobývání.</w:t>
      </w:r>
    </w:p>
    <w:p w:rsidR="006732A5" w:rsidRDefault="006732A5" w:rsidP="006732A5">
      <w:pPr>
        <w:spacing w:line="360" w:lineRule="auto"/>
      </w:pPr>
      <w:r>
        <w:t xml:space="preserve">Skutečná přidaná hodnota internetu je však mnohem větší, než vyjadřuje hrubá přidaná hodnota sektoru, protože internet je především průřezová technologie, která zvyšuje produktivitu práce a přidanou hodnotu ve všech odvětví ekonomiky. Snížení nákladů vlivem e-commerce, on-line reklamy, optimalizace vnitřních procesů organizací a zjednodušením přístupu k informacím internetová ekonomika přináší benefit v podobě přidané hodnoty, která se však promítá v jiných odvětvích ekonomiky a to v odhadované výši </w:t>
      </w:r>
      <w:r w:rsidRPr="004515F2">
        <w:rPr>
          <w:b/>
        </w:rPr>
        <w:t>8,2 – 9,45 % HDP</w:t>
      </w:r>
      <w:r>
        <w:t xml:space="preserve">. </w:t>
      </w:r>
    </w:p>
    <w:p w:rsidR="006E5C0D" w:rsidRPr="00BD2D6F" w:rsidRDefault="006732A5" w:rsidP="006732A5">
      <w:pPr>
        <w:spacing w:line="360" w:lineRule="auto"/>
      </w:pPr>
      <w:r>
        <w:t>Navíc internet přináší řadu dalších benefitů, které nejsou zaznamenány v přidané hodnotě. Jedná se například o spotřebitelský přebytek z levnějšího on-line prodeje, úspora času ve vyhledávání zb</w:t>
      </w:r>
      <w:r w:rsidR="00822FAA">
        <w:t>oží, snazší komunikace s přáteli</w:t>
      </w:r>
      <w:r>
        <w:t xml:space="preserve">, snazší transfer znalostí přes internet a další výhody, které internet nabízí. </w:t>
      </w:r>
    </w:p>
    <w:p w:rsidR="006732A5" w:rsidRDefault="006732A5" w:rsidP="006732A5">
      <w:pPr>
        <w:pStyle w:val="Nadpis2"/>
        <w:numPr>
          <w:ilvl w:val="1"/>
          <w:numId w:val="1"/>
        </w:numPr>
        <w:spacing w:line="360" w:lineRule="auto"/>
      </w:pPr>
      <w:bookmarkStart w:id="13" w:name="_Ref366934031"/>
      <w:bookmarkStart w:id="14" w:name="_Toc368040285"/>
      <w:r>
        <w:lastRenderedPageBreak/>
        <w:t>Zaměstnanost v internetové ekonomice</w:t>
      </w:r>
      <w:bookmarkEnd w:id="13"/>
      <w:bookmarkEnd w:id="14"/>
    </w:p>
    <w:p w:rsidR="006732A5" w:rsidRDefault="006732A5" w:rsidP="006732A5">
      <w:pPr>
        <w:spacing w:line="360" w:lineRule="auto"/>
      </w:pPr>
      <w:r>
        <w:t xml:space="preserve">Další možností, jak můžeme měřit velikost internetové ekonomiky je skrze zaměstnanost. Podobně jako u přidané hodnoty má internetová ekonomika v zaměstnanosti průřezový charakter napříč odvětvími. Proto jsme zvolili pro ilustraci zaměstnanosti v internetové ekonomice kruhovou strukturu jako u přidané hodnoty. </w:t>
      </w:r>
    </w:p>
    <w:p w:rsidR="006E5C0D" w:rsidRDefault="006E5C0D" w:rsidP="006732A5">
      <w:pPr>
        <w:spacing w:line="360" w:lineRule="auto"/>
      </w:pPr>
    </w:p>
    <w:p w:rsidR="006732A5" w:rsidRDefault="006732A5" w:rsidP="006732A5">
      <w:pPr>
        <w:pStyle w:val="Titulek"/>
        <w:spacing w:line="360" w:lineRule="auto"/>
      </w:pPr>
      <w:r>
        <w:t xml:space="preserve">Obrázek </w:t>
      </w:r>
      <w:fldSimple w:instr=" SEQ Obrázek \* ARABIC ">
        <w:r w:rsidR="00A828CC">
          <w:rPr>
            <w:noProof/>
          </w:rPr>
          <w:t>4</w:t>
        </w:r>
      </w:fldSimple>
      <w:r>
        <w:t>: Zaměstnanost v internetové ekonomice</w:t>
      </w:r>
    </w:p>
    <w:p w:rsidR="006732A5" w:rsidRPr="004D3B84" w:rsidRDefault="006732A5" w:rsidP="006732A5">
      <w:pPr>
        <w:spacing w:line="360" w:lineRule="auto"/>
      </w:pPr>
      <w:r w:rsidRPr="004C049C">
        <w:rPr>
          <w:noProof/>
          <w:lang w:eastAsia="cs-CZ"/>
        </w:rPr>
        <w:drawing>
          <wp:inline distT="0" distB="0" distL="0" distR="0">
            <wp:extent cx="4695825" cy="4283910"/>
            <wp:effectExtent l="19050" t="0" r="9525" b="0"/>
            <wp:docPr id="5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4693238" cy="4281550"/>
                    </a:xfrm>
                    <a:prstGeom prst="rect">
                      <a:avLst/>
                    </a:prstGeom>
                    <a:noFill/>
                    <a:ln w="9525">
                      <a:noFill/>
                      <a:miter lim="800000"/>
                      <a:headEnd/>
                      <a:tailEnd/>
                    </a:ln>
                  </pic:spPr>
                </pic:pic>
              </a:graphicData>
            </a:graphic>
          </wp:inline>
        </w:drawing>
      </w:r>
    </w:p>
    <w:p w:rsidR="006732A5" w:rsidRDefault="006732A5" w:rsidP="006732A5">
      <w:pPr>
        <w:spacing w:line="360" w:lineRule="auto"/>
        <w:rPr>
          <w:i/>
          <w:szCs w:val="24"/>
        </w:rPr>
      </w:pPr>
      <w:r w:rsidRPr="00C95F6D">
        <w:rPr>
          <w:i/>
          <w:szCs w:val="24"/>
        </w:rPr>
        <w:t xml:space="preserve">Poznámka: </w:t>
      </w:r>
      <w:r>
        <w:rPr>
          <w:i/>
          <w:szCs w:val="24"/>
        </w:rPr>
        <w:t>Část vnitřního kruhu IT specialistů leží mimo kruh ICT sektoru, protože existuje množina IT specialistů, kteří nejsou zaměstnaní v rámci firem z ICT sektoru.</w:t>
      </w:r>
    </w:p>
    <w:p w:rsidR="00FA32E3" w:rsidRPr="00C95F6D" w:rsidRDefault="00FA32E3" w:rsidP="006732A5">
      <w:pPr>
        <w:spacing w:line="360" w:lineRule="auto"/>
        <w:rPr>
          <w:i/>
          <w:szCs w:val="24"/>
        </w:rPr>
      </w:pPr>
    </w:p>
    <w:p w:rsidR="006732A5" w:rsidRDefault="006732A5" w:rsidP="006732A5">
      <w:pPr>
        <w:spacing w:line="360" w:lineRule="auto"/>
        <w:rPr>
          <w:b/>
        </w:rPr>
      </w:pPr>
      <w:r w:rsidRPr="004D3B84">
        <w:rPr>
          <w:b/>
        </w:rPr>
        <w:t xml:space="preserve">Vnitřní kruh: </w:t>
      </w:r>
    </w:p>
    <w:p w:rsidR="006732A5" w:rsidRDefault="006732A5" w:rsidP="006732A5">
      <w:pPr>
        <w:spacing w:line="360" w:lineRule="auto"/>
      </w:pPr>
      <w:r>
        <w:t>Vnitřní kruh tvoří IT specialisté. Ty se dělí dle mezinárodní klasifikace ISCO 08 (v ČR odpovídající Klasifikace zaměstnání CZ-ISCO) na 2 hlavní skupiny:</w:t>
      </w:r>
    </w:p>
    <w:p w:rsidR="00FA32E3" w:rsidRDefault="00FA32E3" w:rsidP="006732A5">
      <w:pPr>
        <w:spacing w:line="360" w:lineRule="auto"/>
      </w:pPr>
    </w:p>
    <w:p w:rsidR="006732A5" w:rsidRPr="009F4555" w:rsidRDefault="006732A5" w:rsidP="006732A5">
      <w:pPr>
        <w:spacing w:line="360" w:lineRule="auto"/>
        <w:rPr>
          <w:b/>
          <w:i/>
        </w:rPr>
      </w:pPr>
      <w:r w:rsidRPr="009F4555">
        <w:rPr>
          <w:b/>
          <w:i/>
        </w:rPr>
        <w:lastRenderedPageBreak/>
        <w:t>Specialisté v oblasti ICT (CZ-ISCO</w:t>
      </w:r>
      <w:r>
        <w:t xml:space="preserve"> </w:t>
      </w:r>
      <w:r w:rsidRPr="009F4555">
        <w:rPr>
          <w:b/>
          <w:i/>
        </w:rPr>
        <w:t xml:space="preserve">25) </w:t>
      </w:r>
    </w:p>
    <w:p w:rsidR="006732A5" w:rsidRDefault="006732A5" w:rsidP="006732A5">
      <w:pPr>
        <w:spacing w:line="360" w:lineRule="auto"/>
      </w:pPr>
      <w:r>
        <w:t xml:space="preserve">• Analytici a vývojáři softwaru a počítačových aplikací (CZ-ISCO 251) </w:t>
      </w:r>
    </w:p>
    <w:p w:rsidR="006732A5" w:rsidRDefault="006732A5" w:rsidP="006732A5">
      <w:pPr>
        <w:spacing w:line="360" w:lineRule="auto"/>
      </w:pPr>
      <w:r>
        <w:t xml:space="preserve">• Specialisté v oblasti databází a počítačových sítí (CZ-ISCO 252) </w:t>
      </w:r>
    </w:p>
    <w:p w:rsidR="006732A5" w:rsidRPr="009F4555" w:rsidRDefault="006732A5" w:rsidP="006732A5">
      <w:pPr>
        <w:spacing w:line="360" w:lineRule="auto"/>
        <w:rPr>
          <w:b/>
          <w:i/>
        </w:rPr>
      </w:pPr>
      <w:r w:rsidRPr="009F4555">
        <w:rPr>
          <w:b/>
          <w:i/>
        </w:rPr>
        <w:t xml:space="preserve">Technici v oblasti ICT (CZ-ISCO 35) </w:t>
      </w:r>
    </w:p>
    <w:p w:rsidR="006732A5" w:rsidRDefault="006732A5" w:rsidP="006732A5">
      <w:pPr>
        <w:spacing w:line="360" w:lineRule="auto"/>
      </w:pPr>
      <w:r>
        <w:t xml:space="preserve">• Technici provozu a uživatelské podpory ICT a příbuzní pracovníci </w:t>
      </w:r>
    </w:p>
    <w:p w:rsidR="006732A5" w:rsidRDefault="006732A5" w:rsidP="006732A5">
      <w:pPr>
        <w:spacing w:line="360" w:lineRule="auto"/>
      </w:pPr>
      <w:r>
        <w:t xml:space="preserve">(CZ-ISCO 351) </w:t>
      </w:r>
    </w:p>
    <w:p w:rsidR="006732A5" w:rsidRDefault="006732A5" w:rsidP="006732A5">
      <w:pPr>
        <w:spacing w:line="360" w:lineRule="auto"/>
      </w:pPr>
      <w:r>
        <w:t>• Technici v oblasti telekomunikací a vysílání (CZ-ISCO 352)</w:t>
      </w:r>
    </w:p>
    <w:p w:rsidR="006732A5" w:rsidRDefault="006732A5" w:rsidP="006732A5">
      <w:pPr>
        <w:spacing w:line="360" w:lineRule="auto"/>
      </w:pPr>
      <w:r>
        <w:t>Do této statistiky spadají zaměstnanci i podnikatelé.</w:t>
      </w:r>
    </w:p>
    <w:p w:rsidR="006732A5" w:rsidRDefault="006732A5" w:rsidP="006732A5">
      <w:pPr>
        <w:spacing w:line="360" w:lineRule="auto"/>
      </w:pPr>
      <w:r>
        <w:t xml:space="preserve">Z výběrového šetření ČSÚ vyplývá, že IT odborníků bylo v roce 2011 v průměru přibližně </w:t>
      </w:r>
      <w:r w:rsidRPr="00677F58">
        <w:rPr>
          <w:b/>
        </w:rPr>
        <w:t>126 600</w:t>
      </w:r>
      <w:r>
        <w:t>, což je asi o 5 000 více než v předešlém roce. IT specialisté tak tvořili přibližně 2,5% podíl na celkové zaměstnanosti ČR. Následující graf ukazuje jejich skladbu podle zaměstnání.</w:t>
      </w:r>
    </w:p>
    <w:p w:rsidR="006732A5" w:rsidRDefault="006732A5" w:rsidP="006732A5">
      <w:pPr>
        <w:spacing w:line="360" w:lineRule="auto"/>
      </w:pPr>
    </w:p>
    <w:p w:rsidR="006732A5" w:rsidRDefault="006732A5" w:rsidP="006732A5">
      <w:pPr>
        <w:pStyle w:val="Titulek"/>
        <w:spacing w:line="360" w:lineRule="auto"/>
      </w:pPr>
      <w:r>
        <w:t xml:space="preserve">Graf </w:t>
      </w:r>
      <w:fldSimple w:instr=" SEQ Graf \* ARABIC ">
        <w:r w:rsidR="00A828CC">
          <w:rPr>
            <w:noProof/>
          </w:rPr>
          <w:t>10</w:t>
        </w:r>
      </w:fldSimple>
      <w:r>
        <w:t>: IT odborníci v ČR podle zaměstnání v roce 2011 (v tis. fyzických osob)</w:t>
      </w:r>
    </w:p>
    <w:p w:rsidR="006732A5" w:rsidRPr="00514650" w:rsidRDefault="006732A5" w:rsidP="006732A5">
      <w:pPr>
        <w:spacing w:line="360" w:lineRule="auto"/>
      </w:pPr>
      <w:r w:rsidRPr="00514650">
        <w:rPr>
          <w:noProof/>
          <w:lang w:eastAsia="cs-CZ"/>
        </w:rPr>
        <w:drawing>
          <wp:inline distT="0" distB="0" distL="0" distR="0">
            <wp:extent cx="4095750" cy="1949012"/>
            <wp:effectExtent l="19050" t="0" r="0" b="0"/>
            <wp:docPr id="1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4104903" cy="1953367"/>
                    </a:xfrm>
                    <a:prstGeom prst="rect">
                      <a:avLst/>
                    </a:prstGeom>
                    <a:noFill/>
                    <a:ln w="9525">
                      <a:noFill/>
                      <a:miter lim="800000"/>
                      <a:headEnd/>
                      <a:tailEnd/>
                    </a:ln>
                  </pic:spPr>
                </pic:pic>
              </a:graphicData>
            </a:graphic>
          </wp:inline>
        </w:drawing>
      </w:r>
    </w:p>
    <w:p w:rsidR="006732A5" w:rsidRDefault="006732A5" w:rsidP="006732A5">
      <w:pPr>
        <w:spacing w:line="360" w:lineRule="auto"/>
      </w:pPr>
      <w:r>
        <w:t>Zdroj: ČSÚ, Výběrové šetření pracovních sil</w:t>
      </w:r>
    </w:p>
    <w:p w:rsidR="006732A5" w:rsidRDefault="006732A5" w:rsidP="006732A5">
      <w:pPr>
        <w:spacing w:line="360" w:lineRule="auto"/>
      </w:pPr>
    </w:p>
    <w:p w:rsidR="006732A5" w:rsidRDefault="006732A5" w:rsidP="006732A5">
      <w:pPr>
        <w:spacing w:line="360" w:lineRule="auto"/>
      </w:pPr>
      <w:r>
        <w:t>S rozvojem cloud computingu lze předpokládat, že v budoucnu bude docházet k poklesu zaměstnanosti techniků v ICT a tato pracovní síla se bude přelévat částečně k specialistům v ICT a částečně mimo vnitřní kruh a bude tak zásobovat potřebnou IT gramotnou populaci</w:t>
      </w:r>
      <w:r>
        <w:rPr>
          <w:rStyle w:val="Znakapoznpodarou"/>
        </w:rPr>
        <w:footnoteReference w:id="22"/>
      </w:r>
      <w:r>
        <w:t xml:space="preserve">, která není přímo v jádru internetové ekonomiky. Přestože je již dnes v internetové ekonomice relativně vysoká produktivita práce ve srovnání se zbytkem ekonomiky (viz. </w:t>
      </w:r>
      <w:r w:rsidR="00467841">
        <w:fldChar w:fldCharType="begin"/>
      </w:r>
      <w:r>
        <w:instrText xml:space="preserve"> REF _Ref366158619 \h </w:instrText>
      </w:r>
      <w:r w:rsidR="00467841">
        <w:fldChar w:fldCharType="separate"/>
      </w:r>
      <w:r w:rsidR="00A828CC">
        <w:t xml:space="preserve">Graf </w:t>
      </w:r>
      <w:r w:rsidR="00A828CC">
        <w:rPr>
          <w:noProof/>
        </w:rPr>
        <w:t>16</w:t>
      </w:r>
      <w:r w:rsidR="00467841">
        <w:fldChar w:fldCharType="end"/>
      </w:r>
      <w:r>
        <w:t>), tak tento trend bude nadále produktivitu práce zvyšovat.</w:t>
      </w:r>
    </w:p>
    <w:p w:rsidR="006732A5" w:rsidRDefault="006732A5" w:rsidP="006732A5">
      <w:pPr>
        <w:pStyle w:val="Odstavecseseznamem"/>
        <w:numPr>
          <w:ilvl w:val="0"/>
          <w:numId w:val="26"/>
        </w:numPr>
        <w:spacing w:line="360" w:lineRule="auto"/>
        <w:rPr>
          <w:b/>
        </w:rPr>
      </w:pPr>
      <w:r>
        <w:rPr>
          <w:b/>
        </w:rPr>
        <w:lastRenderedPageBreak/>
        <w:t>Vnější kruh</w:t>
      </w:r>
    </w:p>
    <w:p w:rsidR="006732A5" w:rsidRDefault="006732A5" w:rsidP="006732A5">
      <w:pPr>
        <w:spacing w:line="360" w:lineRule="auto"/>
      </w:pPr>
      <w:r>
        <w:t>Tento kruh představují zaměstnanci ICT sektoru. Oproti statistice IT specialistů z vnitřního kruhu, do zaměstnanosti v ICT sektoru spadají i zaměstnanci firem s hlavní ekonomickou činností v ICT sektoru, kteří ale nemusí být IT specialisté. Na druhou stranu do této statistiky nespadají IT specialisté, kteří nejsou zaměstnáni v ICT firmě. Rozdílnost v metodice sledování zaměstnanosti IT specialistů a zaměstnanosti v ICT sektoru způsobuje, že vnitřní kruh není podmnožinou (je podmnožinou pouze z převážné části) prvního vnějšího kruhu, protože IT specialisté pracující v jiném než ICT sektoru spadají do vnitřního kruhu, ale ne do prvního vnějšího. Protože je však zaměstnanost v ICT sektoru větší, než je počet IT odborníků, zachovali jsme i zde kruhovou strukturu internetové ekonomiky. Vnitřní kruh však protíná 1. vnější a jeho část není podmnožinou 1. vnějšího kruhu.</w:t>
      </w:r>
    </w:p>
    <w:p w:rsidR="006732A5" w:rsidRDefault="006732A5" w:rsidP="006732A5">
      <w:pPr>
        <w:spacing w:line="360" w:lineRule="auto"/>
      </w:pPr>
      <w:r>
        <w:t xml:space="preserve">Dle roční strukturální podnikové statistiky bylo v roce 2011 zaměstnáno přibližně </w:t>
      </w:r>
      <w:r w:rsidRPr="00677F58">
        <w:rPr>
          <w:b/>
        </w:rPr>
        <w:t>140</w:t>
      </w:r>
      <w:r>
        <w:rPr>
          <w:b/>
        </w:rPr>
        <w:t> </w:t>
      </w:r>
      <w:r w:rsidRPr="00677F58">
        <w:rPr>
          <w:b/>
        </w:rPr>
        <w:t>600</w:t>
      </w:r>
      <w:r>
        <w:rPr>
          <w:b/>
        </w:rPr>
        <w:t xml:space="preserve"> lidí </w:t>
      </w:r>
      <w:r w:rsidRPr="001D306F">
        <w:t>v ICT sektoru</w:t>
      </w:r>
      <w:r>
        <w:t xml:space="preserve">, což je o 2 000 více než v předchozím roce a představovalo to </w:t>
      </w:r>
      <w:r w:rsidRPr="00677F58">
        <w:rPr>
          <w:b/>
        </w:rPr>
        <w:t>2,8% podíl na celkové zaměstnanosti</w:t>
      </w:r>
      <w:r>
        <w:t>. Přibližně 85 % představují zaměstnanci a 15 % podnikatelé. Následující graf ukazuje vývoj za poslední roky a rozdělení zaměstnanců podle skupin činností.</w:t>
      </w:r>
    </w:p>
    <w:p w:rsidR="006732A5" w:rsidRDefault="006732A5" w:rsidP="006732A5">
      <w:pPr>
        <w:spacing w:line="360" w:lineRule="auto"/>
      </w:pPr>
    </w:p>
    <w:p w:rsidR="006732A5" w:rsidRDefault="006732A5" w:rsidP="006732A5">
      <w:pPr>
        <w:pStyle w:val="Titulek"/>
        <w:spacing w:line="360" w:lineRule="auto"/>
      </w:pPr>
      <w:r>
        <w:t xml:space="preserve">Graf </w:t>
      </w:r>
      <w:fldSimple w:instr=" SEQ Graf \* ARABIC ">
        <w:r w:rsidR="00A828CC">
          <w:rPr>
            <w:noProof/>
          </w:rPr>
          <w:t>11</w:t>
        </w:r>
      </w:fldSimple>
      <w:r>
        <w:t>: Zaměstnané osoby v ICT sektoru</w:t>
      </w:r>
    </w:p>
    <w:p w:rsidR="006732A5" w:rsidRDefault="006732A5" w:rsidP="006732A5">
      <w:pPr>
        <w:spacing w:line="360" w:lineRule="auto"/>
      </w:pPr>
      <w:r w:rsidRPr="00967002">
        <w:rPr>
          <w:noProof/>
          <w:lang w:eastAsia="cs-CZ"/>
        </w:rPr>
        <w:drawing>
          <wp:inline distT="0" distB="0" distL="0" distR="0">
            <wp:extent cx="3810000" cy="3613608"/>
            <wp:effectExtent l="19050" t="0" r="0" b="0"/>
            <wp:docPr id="19"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3812860" cy="3616320"/>
                    </a:xfrm>
                    <a:prstGeom prst="rect">
                      <a:avLst/>
                    </a:prstGeom>
                    <a:noFill/>
                    <a:ln w="9525">
                      <a:noFill/>
                      <a:miter lim="800000"/>
                      <a:headEnd/>
                      <a:tailEnd/>
                    </a:ln>
                  </pic:spPr>
                </pic:pic>
              </a:graphicData>
            </a:graphic>
          </wp:inline>
        </w:drawing>
      </w:r>
    </w:p>
    <w:p w:rsidR="006732A5" w:rsidRDefault="006732A5" w:rsidP="006732A5">
      <w:pPr>
        <w:spacing w:line="360" w:lineRule="auto"/>
      </w:pPr>
      <w:r>
        <w:t xml:space="preserve">Zdroj: </w:t>
      </w:r>
      <w:r w:rsidRPr="00C00349">
        <w:t>ČSÚ, Strukturální šetření podnikatelského sektoru a RNÚ</w:t>
      </w:r>
    </w:p>
    <w:p w:rsidR="006732A5" w:rsidRDefault="006732A5" w:rsidP="006732A5">
      <w:pPr>
        <w:pStyle w:val="Odstavecseseznamem"/>
        <w:spacing w:line="360" w:lineRule="auto"/>
        <w:ind w:left="360"/>
        <w:rPr>
          <w:b/>
        </w:rPr>
      </w:pPr>
    </w:p>
    <w:p w:rsidR="006732A5" w:rsidRDefault="006732A5" w:rsidP="006732A5">
      <w:pPr>
        <w:pStyle w:val="Odstavecseseznamem"/>
        <w:numPr>
          <w:ilvl w:val="0"/>
          <w:numId w:val="26"/>
        </w:numPr>
        <w:spacing w:line="360" w:lineRule="auto"/>
        <w:rPr>
          <w:b/>
        </w:rPr>
      </w:pPr>
      <w:r>
        <w:rPr>
          <w:b/>
        </w:rPr>
        <w:t>Vnější kruh</w:t>
      </w:r>
    </w:p>
    <w:p w:rsidR="006732A5" w:rsidRPr="0024270E" w:rsidRDefault="006732A5" w:rsidP="006732A5">
      <w:pPr>
        <w:spacing w:line="360" w:lineRule="auto"/>
      </w:pPr>
      <w:r>
        <w:t xml:space="preserve">Druhý vnější kruh opět ukazuje na průřezovou strukturu internetové ekonomiky. Podle studie IAB (2009) vytváří 1 pracovní místo přímo v internetových podnicích (ať už ve vývoji nebo v internetové reklamě, v obchodě nebo třeba v grafice) navazujících cca. 1,5 míst v dalších odvětvích (díky tomu, že je internet průřezová technologie). Tato studie byla zpracována na trh internetové ekonomiky v USA. Pro hrubou představu o tom, kolik pracovních míst vytváří internetová ekonomika, však tento koeficient převezmeme a budeme předpokládat, že je pro ČR podobný. </w:t>
      </w:r>
      <w:r w:rsidRPr="00DF76E2">
        <w:rPr>
          <w:b/>
        </w:rPr>
        <w:t>Na základě tohoto předpokladu tedy internetová ekonomika generovala v roce 2011 přibližně 316 500 pracovních míst, což tvořilo 6,3 % celkové zaměstnanosti.</w:t>
      </w:r>
      <w:r>
        <w:rPr>
          <w:b/>
        </w:rPr>
        <w:t xml:space="preserve"> </w:t>
      </w:r>
      <w:r>
        <w:t>Vnitřní kruh a první vnější kruh jsou podmnožinami druhého vnějšího kruhu.</w:t>
      </w:r>
    </w:p>
    <w:p w:rsidR="006732A5" w:rsidRDefault="006732A5" w:rsidP="006732A5">
      <w:pPr>
        <w:pStyle w:val="Odstavecseseznamem"/>
        <w:numPr>
          <w:ilvl w:val="0"/>
          <w:numId w:val="26"/>
        </w:numPr>
        <w:spacing w:line="360" w:lineRule="auto"/>
        <w:rPr>
          <w:b/>
        </w:rPr>
      </w:pPr>
      <w:r>
        <w:rPr>
          <w:b/>
        </w:rPr>
        <w:t>Vnější kruh</w:t>
      </w:r>
    </w:p>
    <w:p w:rsidR="006732A5" w:rsidRPr="000C2103" w:rsidRDefault="006732A5" w:rsidP="006732A5">
      <w:pPr>
        <w:spacing w:line="360" w:lineRule="auto"/>
      </w:pPr>
      <w:r>
        <w:t xml:space="preserve">Třetí vnější kruh obsahuje tu část zaměstnané populace, která při práci využívá aktivně internet. Internet má tedy vliv na jejich produktivitu práce, která přináší benefity napříč ostatními odvětvími ekonomiky. Z dat Eurostatu vyplývá, že v roce 2012 tvořili v ČR zaměstnanci (bez zaměstnanců finančního sektoru), </w:t>
      </w:r>
      <w:r w:rsidRPr="000C2103">
        <w:rPr>
          <w:b/>
        </w:rPr>
        <w:t>kteří využívají v práci internet 34% podíl na celkové zaměstnanosti</w:t>
      </w:r>
      <w:r>
        <w:rPr>
          <w:rStyle w:val="Znakapoznpodarou"/>
          <w:b/>
        </w:rPr>
        <w:footnoteReference w:id="23"/>
      </w:r>
      <w:r w:rsidRPr="000C2103">
        <w:rPr>
          <w:b/>
        </w:rPr>
        <w:t>.</w:t>
      </w:r>
    </w:p>
    <w:p w:rsidR="006732A5" w:rsidRDefault="006732A5" w:rsidP="006732A5">
      <w:pPr>
        <w:spacing w:line="360" w:lineRule="auto"/>
        <w:rPr>
          <w:b/>
        </w:rPr>
      </w:pPr>
    </w:p>
    <w:p w:rsidR="006732A5" w:rsidRDefault="006732A5" w:rsidP="006732A5">
      <w:pPr>
        <w:pStyle w:val="Odstavecseseznamem"/>
        <w:numPr>
          <w:ilvl w:val="0"/>
          <w:numId w:val="26"/>
        </w:numPr>
        <w:spacing w:line="360" w:lineRule="auto"/>
        <w:rPr>
          <w:b/>
        </w:rPr>
      </w:pPr>
      <w:r>
        <w:rPr>
          <w:b/>
        </w:rPr>
        <w:t>Vnější kruh</w:t>
      </w:r>
    </w:p>
    <w:p w:rsidR="006732A5" w:rsidRDefault="006732A5" w:rsidP="006732A5">
      <w:pPr>
        <w:spacing w:line="360" w:lineRule="auto"/>
      </w:pPr>
      <w:r>
        <w:t xml:space="preserve">Poslední kruh představuje celkovou zaměstnanost. Jak je vidět z předchozích statistik, tak počet zaměstnanců, kteří využívají při práci internet relativně vysoký (i přesto, že česká ekonomika je silně orientovaná na zpracovatelský průmysl, kde zaměstnanci potřebují k práci internet relativně méně ve srovnání s průměrem ekonomiky). Internetová ekonomika má tedy z pohledu zaměstnanosti velký vliv, i když podíl IT specialistů na celkové zaměstnanosti není tak velký. </w:t>
      </w:r>
    </w:p>
    <w:p w:rsidR="00FA32E3" w:rsidRDefault="006732A5" w:rsidP="006732A5">
      <w:pPr>
        <w:spacing w:line="360" w:lineRule="auto"/>
      </w:pPr>
      <w:r>
        <w:t xml:space="preserve">Ukazuje se, že díky rostoucímu významu internetu je již internetová ekonomika jako sektor velmi významným zaměstnavatelem, který již předčí i některé hlavní tradiční ekonomické činnosti. IT odborníků je více než např. zaměstnanců v odvětví těžby a dobývání; administrativních a podpůrných činností nebo ve výrobě a rozvodu elektřiny, plynu a tepla. V ICT sektoru bylo v roce 2011 zaměstnáno více lidí než v odvětví peněžnictví a pojišťovnictví. </w:t>
      </w:r>
    </w:p>
    <w:p w:rsidR="006732A5" w:rsidRDefault="006732A5" w:rsidP="006732A5">
      <w:pPr>
        <w:spacing w:line="360" w:lineRule="auto"/>
      </w:pPr>
      <w:r>
        <w:t xml:space="preserve">Pokud vycházíme z odhadu kolik lidí je zaměstnáno díky internetové ekonomice (druhý vnější kruh), tak internetová ekonomika je v pořadí </w:t>
      </w:r>
      <w:r w:rsidRPr="001F3ED7">
        <w:rPr>
          <w:b/>
        </w:rPr>
        <w:t xml:space="preserve">sedmým nejdůležitějším sektorem z pohledu </w:t>
      </w:r>
      <w:r w:rsidRPr="001F3ED7">
        <w:rPr>
          <w:b/>
        </w:rPr>
        <w:lastRenderedPageBreak/>
        <w:t>zaměstnanosti</w:t>
      </w:r>
      <w:r>
        <w:t xml:space="preserve">. Významně větší zaměstnanost vytváří pouze v ČR tradiční zpracovatelský průmysl. Následující graf porovnává velikost jednotlivých odvětví (dle hlavní ekonomické činnosti CZ-NACE) s velikostí kruhů znázorněné ve struktuře internetové ekonomiky. </w:t>
      </w:r>
    </w:p>
    <w:p w:rsidR="006732A5" w:rsidRDefault="006732A5" w:rsidP="006732A5">
      <w:pPr>
        <w:spacing w:line="360" w:lineRule="auto"/>
      </w:pPr>
    </w:p>
    <w:p w:rsidR="006732A5" w:rsidRDefault="006732A5" w:rsidP="006732A5">
      <w:pPr>
        <w:pStyle w:val="Titulek"/>
      </w:pPr>
      <w:r>
        <w:t xml:space="preserve">Graf </w:t>
      </w:r>
      <w:fldSimple w:instr=" SEQ Graf \* ARABIC ">
        <w:r w:rsidR="00A828CC">
          <w:rPr>
            <w:noProof/>
          </w:rPr>
          <w:t>12</w:t>
        </w:r>
      </w:fldSimple>
      <w:r>
        <w:t>: Zaměstnanost dle odvětví v roce 2011 (v % celkové zaměstnanosti)</w:t>
      </w:r>
    </w:p>
    <w:p w:rsidR="006732A5" w:rsidRDefault="006732A5" w:rsidP="006732A5">
      <w:r w:rsidRPr="008A1B7C">
        <w:rPr>
          <w:noProof/>
          <w:lang w:eastAsia="cs-CZ"/>
        </w:rPr>
        <w:drawing>
          <wp:inline distT="0" distB="0" distL="0" distR="0">
            <wp:extent cx="5774814" cy="3333750"/>
            <wp:effectExtent l="19050" t="0" r="0" b="0"/>
            <wp:docPr id="1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775954" cy="3334408"/>
                    </a:xfrm>
                    <a:prstGeom prst="rect">
                      <a:avLst/>
                    </a:prstGeom>
                    <a:noFill/>
                    <a:ln w="9525">
                      <a:noFill/>
                      <a:miter lim="800000"/>
                      <a:headEnd/>
                      <a:tailEnd/>
                    </a:ln>
                  </pic:spPr>
                </pic:pic>
              </a:graphicData>
            </a:graphic>
          </wp:inline>
        </w:drawing>
      </w:r>
    </w:p>
    <w:p w:rsidR="006732A5" w:rsidRDefault="006732A5" w:rsidP="006732A5">
      <w:r>
        <w:t>Zdroj: EEIP, ČSÚ</w:t>
      </w:r>
    </w:p>
    <w:p w:rsidR="006732A5" w:rsidRDefault="006732A5" w:rsidP="006732A5"/>
    <w:p w:rsidR="006732A5" w:rsidRDefault="006732A5" w:rsidP="006732A5">
      <w:pPr>
        <w:rPr>
          <w:rStyle w:val="Zdraznnintenzivn"/>
        </w:rPr>
      </w:pPr>
      <w:r>
        <w:rPr>
          <w:rStyle w:val="Zdraznnintenzivn"/>
        </w:rPr>
        <w:t>Závěr podkapitoly</w:t>
      </w:r>
    </w:p>
    <w:p w:rsidR="006732A5" w:rsidRDefault="006732A5" w:rsidP="006732A5">
      <w:pPr>
        <w:rPr>
          <w:rStyle w:val="Zdraznnintenzivn"/>
          <w:b w:val="0"/>
          <w:i w:val="0"/>
        </w:rPr>
      </w:pPr>
    </w:p>
    <w:p w:rsidR="006732A5" w:rsidRPr="00FA32E3" w:rsidRDefault="006732A5" w:rsidP="006732A5">
      <w:pPr>
        <w:spacing w:line="360" w:lineRule="auto"/>
        <w:rPr>
          <w:bCs/>
          <w:iCs/>
        </w:rPr>
      </w:pPr>
      <w:r w:rsidRPr="007D37A7">
        <w:rPr>
          <w:bCs/>
          <w:iCs/>
        </w:rPr>
        <w:t>IT od</w:t>
      </w:r>
      <w:r>
        <w:rPr>
          <w:bCs/>
          <w:iCs/>
        </w:rPr>
        <w:t>borníci tvořili v roce 2011 2,5% (126 600 zaměstnaných včetně podnikatelů) podíl na celkové zaměstnanosti, přičemž největší část tvořili technici prov</w:t>
      </w:r>
      <w:r w:rsidR="001F3ED7">
        <w:rPr>
          <w:bCs/>
          <w:iCs/>
        </w:rPr>
        <w:t>ozu a uživatelské podpory (57,1</w:t>
      </w:r>
      <w:r>
        <w:rPr>
          <w:bCs/>
          <w:iCs/>
        </w:rPr>
        <w:t xml:space="preserve">%), následováni analytiky a vývojáři softwaru a počítačových aplikací (34,2 %), specialisty v oblasti databází a počítačových sítí (22,1 %) a nakonec techniky v oblasti telekomunikací a vysílání (12,8 %). O něco větší množinu představují zaměstnanci ICT sektoru, kterých bylo v roce 2011 cca. 140 600, což znamenalo 2,8% podíl na celkové zaměstnanosti. Internetová ekonomika má však mnohem významnější vliv na zaměstnanost, než je zaznamenáno v počtu zaměstnanců ICT sektoru i v počtu IT odborníků. Studie IAB (2009) odhaduje, že </w:t>
      </w:r>
      <w:r>
        <w:t>1 pracovní místo vytvořené přímo v internetových podnicích generuje v USA navazujících cca. 1,5 míst v dalších odvětvích (díky tomu, že je internet průřezová technologie). Za předpokladu stejného multiplikativního efektu v ČR tak internetová ekonomika (přímo i nepřímo) tvořila v roce 2011 cca. 316 500 pracovních míst, což představovalo 6,3 % na tehdejší celkové zaměstnanosti.</w:t>
      </w:r>
    </w:p>
    <w:p w:rsidR="006732A5" w:rsidRPr="00FA32E3" w:rsidRDefault="006732A5" w:rsidP="00FA32E3">
      <w:pPr>
        <w:spacing w:line="360" w:lineRule="auto"/>
        <w:rPr>
          <w:rStyle w:val="Zdraznnintenzivn"/>
          <w:b w:val="0"/>
          <w:i w:val="0"/>
          <w:color w:val="auto"/>
        </w:rPr>
      </w:pPr>
      <w:r>
        <w:lastRenderedPageBreak/>
        <w:t>Jak již bylo uvedeno v předchozí podkapitole, tak internet ovlivňuje produktivitu práce napříč odvětvími ekonomiky.  Z dat Eurostatu vyplývá, že v roce 2012 tvořili v ČR zaměstnanci (bez zaměstnanců finančního sektoru</w:t>
      </w:r>
      <w:r w:rsidRPr="006C5C40">
        <w:t xml:space="preserve">), kteří využívají v práci internet 34% podíl na celkové zaměstnanosti. </w:t>
      </w:r>
    </w:p>
    <w:p w:rsidR="006732A5" w:rsidRDefault="006732A5" w:rsidP="006732A5">
      <w:pPr>
        <w:pStyle w:val="Nadpis2"/>
        <w:numPr>
          <w:ilvl w:val="1"/>
          <w:numId w:val="1"/>
        </w:numPr>
        <w:spacing w:line="360" w:lineRule="auto"/>
      </w:pPr>
      <w:bookmarkStart w:id="15" w:name="_Toc368040286"/>
      <w:r>
        <w:t>Podniky v internetové ekonomice</w:t>
      </w:r>
      <w:bookmarkEnd w:id="15"/>
    </w:p>
    <w:p w:rsidR="006732A5" w:rsidRDefault="006732A5" w:rsidP="006732A5">
      <w:pPr>
        <w:spacing w:line="360" w:lineRule="auto"/>
      </w:pPr>
      <w:r>
        <w:t>Posledním pohledem na velikost internetové ekonomiky v této studii je počet podniků v internetové ekonomice. Protože však neznáme průniky různých množin, zvolili jsme pro lepší přehlednost čtvercovou strukturu. V roce 2012 působilo na českém trhu (dle statistik ČSÚ) 2,73 mil. ekonomických subjektů, z nichž u 1,51 mil. byla zjištěna aktivita. Následující obrázek opět znázorňuje strukturu internetové ekonomiky z pohledu podniků a ukazuje, jaký poměr podniků spadá do jednotlivých kategorií.</w:t>
      </w:r>
    </w:p>
    <w:p w:rsidR="00FA32E3" w:rsidRDefault="00FA32E3" w:rsidP="006732A5">
      <w:pPr>
        <w:spacing w:line="360" w:lineRule="auto"/>
      </w:pPr>
    </w:p>
    <w:p w:rsidR="006732A5" w:rsidRDefault="006732A5" w:rsidP="006732A5">
      <w:pPr>
        <w:pStyle w:val="Titulek"/>
        <w:spacing w:line="360" w:lineRule="auto"/>
      </w:pPr>
      <w:bookmarkStart w:id="16" w:name="_Ref366513804"/>
      <w:r>
        <w:t xml:space="preserve">Obrázek </w:t>
      </w:r>
      <w:fldSimple w:instr=" SEQ Obrázek \* ARABIC ">
        <w:r w:rsidR="00A828CC">
          <w:rPr>
            <w:noProof/>
          </w:rPr>
          <w:t>5</w:t>
        </w:r>
      </w:fldSimple>
      <w:bookmarkEnd w:id="16"/>
      <w:r>
        <w:t>: Podniky v internetové ekonomice</w:t>
      </w:r>
    </w:p>
    <w:p w:rsidR="006732A5" w:rsidRPr="007E7FF8" w:rsidRDefault="006732A5" w:rsidP="006732A5">
      <w:pPr>
        <w:spacing w:line="360" w:lineRule="auto"/>
      </w:pPr>
      <w:r w:rsidRPr="007D7573">
        <w:rPr>
          <w:noProof/>
          <w:lang w:eastAsia="cs-CZ"/>
        </w:rPr>
        <w:drawing>
          <wp:inline distT="0" distB="0" distL="0" distR="0">
            <wp:extent cx="4762500" cy="4762500"/>
            <wp:effectExtent l="19050" t="0" r="0" b="0"/>
            <wp:docPr id="5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4759876" cy="4759876"/>
                    </a:xfrm>
                    <a:prstGeom prst="rect">
                      <a:avLst/>
                    </a:prstGeom>
                    <a:noFill/>
                    <a:ln w="9525">
                      <a:noFill/>
                      <a:miter lim="800000"/>
                      <a:headEnd/>
                      <a:tailEnd/>
                    </a:ln>
                  </pic:spPr>
                </pic:pic>
              </a:graphicData>
            </a:graphic>
          </wp:inline>
        </w:drawing>
      </w:r>
    </w:p>
    <w:p w:rsidR="006732A5" w:rsidRDefault="006732A5" w:rsidP="006732A5">
      <w:pPr>
        <w:spacing w:line="360" w:lineRule="auto"/>
      </w:pPr>
    </w:p>
    <w:p w:rsidR="006732A5" w:rsidRPr="007D7573" w:rsidRDefault="006732A5" w:rsidP="006732A5">
      <w:pPr>
        <w:pStyle w:val="Odstavecseseznamem"/>
        <w:numPr>
          <w:ilvl w:val="0"/>
          <w:numId w:val="33"/>
        </w:numPr>
        <w:spacing w:line="360" w:lineRule="auto"/>
        <w:rPr>
          <w:b/>
        </w:rPr>
      </w:pPr>
      <w:r>
        <w:rPr>
          <w:b/>
        </w:rPr>
        <w:lastRenderedPageBreak/>
        <w:t>Čtverec</w:t>
      </w:r>
      <w:r w:rsidRPr="007D7573">
        <w:rPr>
          <w:b/>
        </w:rPr>
        <w:t>:</w:t>
      </w:r>
    </w:p>
    <w:p w:rsidR="006732A5" w:rsidRDefault="006732A5" w:rsidP="006732A5">
      <w:pPr>
        <w:spacing w:line="360" w:lineRule="auto"/>
      </w:pPr>
      <w:r>
        <w:t xml:space="preserve">První čtverec opět znázorňuje celý ICT sektor, podobně jako vnitřní kruh v případě přidané hodnoty. Mezi podniky působící v ICT sektoru se počítají podniky s převažující činností v tomto odvětví. </w:t>
      </w:r>
      <w:r w:rsidRPr="007E7FF8">
        <w:rPr>
          <w:b/>
        </w:rPr>
        <w:t>Dle statistik ČSÚ jich bylo v roce 2011</w:t>
      </w:r>
      <w:r>
        <w:rPr>
          <w:b/>
        </w:rPr>
        <w:t xml:space="preserve"> průměrně</w:t>
      </w:r>
      <w:r w:rsidRPr="007E7FF8">
        <w:rPr>
          <w:b/>
        </w:rPr>
        <w:t xml:space="preserve"> 32 705, což je o 390 více než v roce 2010 a o 1</w:t>
      </w:r>
      <w:r>
        <w:rPr>
          <w:b/>
        </w:rPr>
        <w:t xml:space="preserve"> </w:t>
      </w:r>
      <w:r w:rsidRPr="007E7FF8">
        <w:rPr>
          <w:b/>
        </w:rPr>
        <w:t>446 více než v roce 2009.</w:t>
      </w:r>
      <w:r>
        <w:rPr>
          <w:b/>
        </w:rPr>
        <w:t xml:space="preserve"> </w:t>
      </w:r>
      <w:r w:rsidRPr="007E7FF8">
        <w:t>Přes 86 % z těchto podniků působilo v ICT službách, 8 % ve výrobě a 6 % v obchodě.</w:t>
      </w:r>
    </w:p>
    <w:p w:rsidR="006732A5" w:rsidRPr="007D7573" w:rsidRDefault="006732A5" w:rsidP="006732A5">
      <w:pPr>
        <w:pStyle w:val="Odstavecseseznamem"/>
        <w:numPr>
          <w:ilvl w:val="0"/>
          <w:numId w:val="33"/>
        </w:numPr>
        <w:spacing w:line="360" w:lineRule="auto"/>
        <w:rPr>
          <w:b/>
        </w:rPr>
      </w:pPr>
      <w:r>
        <w:rPr>
          <w:b/>
        </w:rPr>
        <w:t>Čtverec</w:t>
      </w:r>
    </w:p>
    <w:p w:rsidR="006732A5" w:rsidRPr="001A7FC2" w:rsidRDefault="006732A5" w:rsidP="006732A5">
      <w:pPr>
        <w:spacing w:line="360" w:lineRule="auto"/>
      </w:pPr>
      <w:r>
        <w:t>Součástí druhého čtverce jsou podniky, které prodávají on-line (alespoň 1 % objednávek). V roce 2012 se jednalo o 25 % podniků. Tato skupina podniků využívá internet pro své podnikání nejintenzivněji, i když nemusí patřit do ICT sektoru. Samozřejmě, že i v rámci této skupiny jsou velké rozdíly v intenzitě využívání e-commerce (distribuci v intenzitě statistiky Eurostatu nenabízí). Předpokládáme, že většina těchto firem využívá i v nějaké míře internetovou reklamu. Data o průnicích množin firem, které inzerují na internetu, prodávají prostřednictvím internetu či nakupují na internetu, bohužel nebyl</w:t>
      </w:r>
      <w:r w:rsidR="001F3ED7">
        <w:t>a</w:t>
      </w:r>
      <w:r>
        <w:t xml:space="preserve"> v době zpracování studie dostupná. Z tohoto důvodu jsou průniky množin z </w:t>
      </w:r>
      <w:r w:rsidR="00467841">
        <w:fldChar w:fldCharType="begin"/>
      </w:r>
      <w:r>
        <w:instrText xml:space="preserve"> REF _Ref366513804 \h </w:instrText>
      </w:r>
      <w:r w:rsidR="00467841">
        <w:fldChar w:fldCharType="separate"/>
      </w:r>
      <w:r w:rsidR="00FA32E3">
        <w:t>obrázku</w:t>
      </w:r>
      <w:r w:rsidR="00A828CC">
        <w:t xml:space="preserve"> </w:t>
      </w:r>
      <w:r w:rsidR="00A828CC">
        <w:rPr>
          <w:noProof/>
        </w:rPr>
        <w:t>5</w:t>
      </w:r>
      <w:r w:rsidR="00467841">
        <w:fldChar w:fldCharType="end"/>
      </w:r>
      <w:r>
        <w:t xml:space="preserve"> pouze orientační.</w:t>
      </w:r>
    </w:p>
    <w:p w:rsidR="006732A5" w:rsidRPr="00FA32E3" w:rsidRDefault="006732A5" w:rsidP="00FA32E3">
      <w:pPr>
        <w:pStyle w:val="Odstavecseseznamem"/>
        <w:numPr>
          <w:ilvl w:val="0"/>
          <w:numId w:val="33"/>
        </w:numPr>
        <w:spacing w:line="360" w:lineRule="auto"/>
        <w:rPr>
          <w:b/>
        </w:rPr>
      </w:pPr>
      <w:r>
        <w:rPr>
          <w:b/>
        </w:rPr>
        <w:t xml:space="preserve">Čtverec </w:t>
      </w:r>
    </w:p>
    <w:p w:rsidR="006732A5" w:rsidRPr="00062085" w:rsidRDefault="006732A5" w:rsidP="006732A5">
      <w:pPr>
        <w:spacing w:line="360" w:lineRule="auto"/>
      </w:pPr>
      <w:r>
        <w:t>Součástí třetího čtverce jsou podniky, které nakupují on-line (alespoň 1 % objednávek). V roce 2012 se jednalo o 40 % podniků. Firmy z tohoto čtverce, pokud nejsou zároveň součástí předchozího čtverce, využívají internet pro svoje podnikání relativně méně než firmy v druhém čtverci.</w:t>
      </w:r>
    </w:p>
    <w:p w:rsidR="006732A5" w:rsidRDefault="006732A5" w:rsidP="006732A5">
      <w:pPr>
        <w:pStyle w:val="Odstavecseseznamem"/>
        <w:numPr>
          <w:ilvl w:val="0"/>
          <w:numId w:val="33"/>
        </w:numPr>
        <w:spacing w:line="360" w:lineRule="auto"/>
        <w:rPr>
          <w:b/>
        </w:rPr>
      </w:pPr>
      <w:r>
        <w:rPr>
          <w:b/>
        </w:rPr>
        <w:t xml:space="preserve">Čtverec </w:t>
      </w:r>
    </w:p>
    <w:p w:rsidR="006732A5" w:rsidRDefault="006732A5" w:rsidP="00FA32E3">
      <w:pPr>
        <w:spacing w:line="360" w:lineRule="auto"/>
      </w:pPr>
      <w:r>
        <w:t>Součástí čtvrtého čtverce jsou všechny firmy, které využívají ve svém podnikání internet (v jakékoliv míře). Z datové části analýzy vyplývá, že v roce 2012 využívalo 92 % podniků internet k jednání s orgány veřejné správy a 97 % podniků mělo přístup k internetu. Z toho je</w:t>
      </w:r>
      <w:r w:rsidR="001F3ED7">
        <w:t xml:space="preserve"> zřejmé, že podíl</w:t>
      </w:r>
      <w:r>
        <w:t xml:space="preserve"> podniků, které nevyužívají internet</w:t>
      </w:r>
      <w:r w:rsidR="00C81EC6">
        <w:t>,</w:t>
      </w:r>
      <w:r>
        <w:t xml:space="preserve"> byl již v roce 2012 v řádu jednotek procent.</w:t>
      </w:r>
    </w:p>
    <w:p w:rsidR="006732A5" w:rsidRDefault="006732A5" w:rsidP="006732A5">
      <w:pPr>
        <w:spacing w:before="0" w:after="0"/>
        <w:jc w:val="left"/>
        <w:rPr>
          <w:rStyle w:val="Zdraznnintenzivn"/>
        </w:rPr>
      </w:pPr>
      <w:r>
        <w:rPr>
          <w:rStyle w:val="Zdraznnintenzivn"/>
        </w:rPr>
        <w:t>Závěr podkapitoly</w:t>
      </w:r>
    </w:p>
    <w:p w:rsidR="006732A5" w:rsidRDefault="006732A5" w:rsidP="006732A5">
      <w:pPr>
        <w:spacing w:before="0" w:after="0" w:line="360" w:lineRule="auto"/>
        <w:jc w:val="left"/>
      </w:pPr>
    </w:p>
    <w:p w:rsidR="006732A5" w:rsidRDefault="006732A5" w:rsidP="006732A5">
      <w:pPr>
        <w:spacing w:before="0" w:after="0" w:line="360" w:lineRule="auto"/>
      </w:pPr>
      <w:r w:rsidRPr="00B901A0">
        <w:t xml:space="preserve">Téměř všechny podniky nějakým způsobem využívají internet. V roce 2012 </w:t>
      </w:r>
      <w:r w:rsidR="00FA32E3">
        <w:t xml:space="preserve">mělo </w:t>
      </w:r>
      <w:r w:rsidRPr="00B901A0">
        <w:t>97 % podnik</w:t>
      </w:r>
      <w:r w:rsidR="00FA32E3">
        <w:t>ů</w:t>
      </w:r>
      <w:r w:rsidR="001F3ED7">
        <w:t xml:space="preserve"> přístup k internetu. 40 %</w:t>
      </w:r>
      <w:r w:rsidRPr="00B901A0">
        <w:t xml:space="preserve"> podniků v roce 2012 používalo internet pro nákupy on-line a 25 % podniků používalo internet pro prodej on-line (alespoň 1 % objednáve</w:t>
      </w:r>
      <w:r w:rsidR="001F3ED7">
        <w:t>k). Přestože samotný ICT sektor</w:t>
      </w:r>
      <w:r w:rsidRPr="00B901A0">
        <w:t xml:space="preserve"> představuje přibližně pouhých 2,2 % podniků, tak je vidět, že internet jako průřezová technologie ovlivňuje ve větší či menší míře podnikání téměř všech firem v celé ekonomice.</w:t>
      </w:r>
    </w:p>
    <w:p w:rsidR="006732A5" w:rsidRDefault="006732A5" w:rsidP="006732A5">
      <w:pPr>
        <w:pStyle w:val="Nadpis1"/>
        <w:numPr>
          <w:ilvl w:val="0"/>
          <w:numId w:val="1"/>
        </w:numPr>
        <w:spacing w:line="360" w:lineRule="auto"/>
      </w:pPr>
      <w:bookmarkStart w:id="17" w:name="_Toc368040287"/>
      <w:r>
        <w:lastRenderedPageBreak/>
        <w:t>Internetová ekonomika z pohledu konkurenceschopnosti</w:t>
      </w:r>
      <w:bookmarkEnd w:id="17"/>
    </w:p>
    <w:p w:rsidR="006732A5" w:rsidRDefault="006732A5" w:rsidP="006732A5">
      <w:pPr>
        <w:spacing w:before="0" w:after="0"/>
        <w:jc w:val="left"/>
      </w:pPr>
    </w:p>
    <w:p w:rsidR="006732A5" w:rsidRDefault="006732A5" w:rsidP="006732A5">
      <w:pPr>
        <w:spacing w:before="0" w:after="0" w:line="360" w:lineRule="auto"/>
      </w:pPr>
      <w:r>
        <w:t>Česká republika v minulosti vykazovala nadprůměrný hospodářský růst, který byl ve velké míře způsoben zahraničními investicemi. Zahraniční investice byly přitahovány dobrou geografickou polohou a levnou pracovní silou, která byla dostatečně kvalifikovaná pro výrobu s nižší až střední přidanou hodnotou. S rostoucími náklady práce byl však již potenciál takového růstu vyčerpán. Pro malou a otevřenou ekonomiku jako ČR je důležitá cenová i necenová konkurenceschopnost. Větší příklon k internetové ekonomice v rámci struktury národního hospodářství může být vhodnou cestou, jak zvýšit konkurenceschopnost České republiky.</w:t>
      </w:r>
    </w:p>
    <w:p w:rsidR="00982F4E" w:rsidRDefault="00982F4E" w:rsidP="006732A5">
      <w:pPr>
        <w:spacing w:before="0" w:after="0" w:line="360" w:lineRule="auto"/>
      </w:pPr>
    </w:p>
    <w:p w:rsidR="006732A5" w:rsidRDefault="006732A5" w:rsidP="006732A5">
      <w:pPr>
        <w:pStyle w:val="Nadpis2"/>
        <w:numPr>
          <w:ilvl w:val="1"/>
          <w:numId w:val="1"/>
        </w:numPr>
        <w:spacing w:line="360" w:lineRule="auto"/>
      </w:pPr>
      <w:bookmarkStart w:id="18" w:name="_Toc368040288"/>
      <w:r>
        <w:t>Konkurenceschopnost České republiky</w:t>
      </w:r>
      <w:bookmarkEnd w:id="18"/>
    </w:p>
    <w:p w:rsidR="006732A5" w:rsidRDefault="006732A5" w:rsidP="006732A5">
      <w:pPr>
        <w:spacing w:line="360" w:lineRule="auto"/>
      </w:pPr>
      <w:r>
        <w:t>Mezinárodní konkurenceschopnost ČR můžeme dělit na cenovou a necenovou</w:t>
      </w:r>
      <w:r>
        <w:rPr>
          <w:rStyle w:val="Znakapoznpodarou"/>
        </w:rPr>
        <w:footnoteReference w:id="24"/>
      </w:r>
      <w:r>
        <w:t xml:space="preserve">. Ukazatele konkurenceschopnosti exportu zboží a služeb aplikované na zboží a služby jednotlivých zemí znamená nižší cenu, vyšší kvalitu nebo jinou lepší charakteristiku relativně k jiným zemím. </w:t>
      </w:r>
    </w:p>
    <w:p w:rsidR="00982F4E" w:rsidRDefault="00982F4E" w:rsidP="006732A5">
      <w:pPr>
        <w:spacing w:line="360" w:lineRule="auto"/>
      </w:pPr>
    </w:p>
    <w:p w:rsidR="006732A5" w:rsidRDefault="006732A5" w:rsidP="006732A5">
      <w:pPr>
        <w:pStyle w:val="Nadpis3"/>
        <w:numPr>
          <w:ilvl w:val="2"/>
          <w:numId w:val="1"/>
        </w:numPr>
        <w:spacing w:line="360" w:lineRule="auto"/>
      </w:pPr>
      <w:bookmarkStart w:id="19" w:name="_Toc368040289"/>
      <w:r>
        <w:t>Cenová konkurenceschopnost ČR</w:t>
      </w:r>
      <w:bookmarkEnd w:id="19"/>
    </w:p>
    <w:p w:rsidR="006732A5" w:rsidRDefault="006732A5" w:rsidP="006732A5">
      <w:pPr>
        <w:spacing w:line="360" w:lineRule="auto"/>
      </w:pPr>
      <w:r>
        <w:t>Pro malou, otevřenou ekonomiku s vlastní měnou a plovoucím kurzem jako Česká republika je cenová mezinárodní konkurenceschopnost pro ekonomiku velmi důležitým ukazatelem. Jedním z nejčastěji používaných ukazatelů cenové konkurenceschopnosti bývá reálný efektivní měnový kurz (REER). Reálný kurz v sobě</w:t>
      </w:r>
      <w:r w:rsidRPr="000A0F45">
        <w:t xml:space="preserve"> zahrnuje nominální změnu kurzu národní měny a změnu jednotkových nákladů práce vůči ostatním zemím</w:t>
      </w:r>
      <w:r>
        <w:t xml:space="preserve"> (pokud jsou použity jednotkové náklady práce jako deflátor)</w:t>
      </w:r>
      <w:r w:rsidRPr="000A0F45">
        <w:t>.</w:t>
      </w:r>
      <w:r>
        <w:t xml:space="preserve"> Konkrétně je REER počítán jako vážený průměr (váhy podle důležitosti i-tého obchodního partnera</w:t>
      </w:r>
      <w:r w:rsidR="001F3ED7">
        <w:t xml:space="preserve"> </w:t>
      </w:r>
      <w:r>
        <w:t>- proto efektivní) podílu nominálního měnového kursu a relativních jednotkových nákladů práce nebo jiného deflátoru (například spotřební cenový index)</w:t>
      </w:r>
      <w:r w:rsidR="001F3ED7">
        <w:t xml:space="preserve"> </w:t>
      </w:r>
      <w:r>
        <w:t>- proto reálný. Na následujícím grafu můžeme vidět vývoj REER v mezinárodním srovnání.</w:t>
      </w:r>
    </w:p>
    <w:p w:rsidR="006732A5" w:rsidRDefault="006732A5" w:rsidP="006732A5">
      <w:pPr>
        <w:spacing w:line="360" w:lineRule="auto"/>
      </w:pPr>
    </w:p>
    <w:p w:rsidR="00982F4E" w:rsidRDefault="00982F4E" w:rsidP="006732A5">
      <w:pPr>
        <w:spacing w:line="360" w:lineRule="auto"/>
      </w:pPr>
    </w:p>
    <w:p w:rsidR="00982F4E" w:rsidRDefault="00982F4E" w:rsidP="006732A5">
      <w:pPr>
        <w:spacing w:line="360" w:lineRule="auto"/>
      </w:pPr>
    </w:p>
    <w:p w:rsidR="00982F4E" w:rsidRDefault="00982F4E" w:rsidP="006732A5">
      <w:pPr>
        <w:spacing w:line="360" w:lineRule="auto"/>
      </w:pPr>
    </w:p>
    <w:p w:rsidR="00982F4E" w:rsidRDefault="00982F4E" w:rsidP="006732A5">
      <w:pPr>
        <w:spacing w:line="360" w:lineRule="auto"/>
      </w:pPr>
    </w:p>
    <w:p w:rsidR="006732A5" w:rsidRDefault="006732A5" w:rsidP="006732A5">
      <w:pPr>
        <w:pStyle w:val="Titulek"/>
        <w:spacing w:line="360" w:lineRule="auto"/>
        <w:rPr>
          <w:b/>
        </w:rPr>
      </w:pPr>
      <w:r>
        <w:lastRenderedPageBreak/>
        <w:t xml:space="preserve">Graf </w:t>
      </w:r>
      <w:fldSimple w:instr=" SEQ Graf \* ARABIC ">
        <w:r w:rsidR="00A828CC">
          <w:rPr>
            <w:noProof/>
          </w:rPr>
          <w:t>13</w:t>
        </w:r>
      </w:fldSimple>
      <w:r>
        <w:t xml:space="preserve">: </w:t>
      </w:r>
      <w:r w:rsidRPr="009319C0">
        <w:t>Reálný efektivní měnový kurs (rok 1999=100).</w:t>
      </w:r>
    </w:p>
    <w:p w:rsidR="006732A5" w:rsidRDefault="006732A5" w:rsidP="006732A5">
      <w:pPr>
        <w:spacing w:after="0" w:line="360" w:lineRule="auto"/>
        <w:jc w:val="left"/>
      </w:pPr>
      <w:r w:rsidRPr="00BF2AEA">
        <w:rPr>
          <w:noProof/>
          <w:lang w:eastAsia="cs-CZ"/>
        </w:rPr>
        <w:drawing>
          <wp:inline distT="0" distB="0" distL="0" distR="0">
            <wp:extent cx="4057650" cy="2437965"/>
            <wp:effectExtent l="19050" t="0" r="0" b="0"/>
            <wp:docPr id="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4068905" cy="2444727"/>
                    </a:xfrm>
                    <a:prstGeom prst="rect">
                      <a:avLst/>
                    </a:prstGeom>
                    <a:noFill/>
                    <a:ln w="9525">
                      <a:noFill/>
                      <a:miter lim="800000"/>
                      <a:headEnd/>
                      <a:tailEnd/>
                    </a:ln>
                  </pic:spPr>
                </pic:pic>
              </a:graphicData>
            </a:graphic>
          </wp:inline>
        </w:drawing>
      </w:r>
    </w:p>
    <w:p w:rsidR="006732A5" w:rsidRDefault="006732A5" w:rsidP="006732A5">
      <w:pPr>
        <w:spacing w:after="0" w:line="360" w:lineRule="auto"/>
        <w:jc w:val="left"/>
      </w:pPr>
      <w:r>
        <w:t>Zdroj: Eurostat, 2012</w:t>
      </w:r>
    </w:p>
    <w:p w:rsidR="006732A5" w:rsidRDefault="006732A5" w:rsidP="006732A5">
      <w:pPr>
        <w:spacing w:after="0" w:line="360" w:lineRule="auto"/>
      </w:pPr>
      <w:r>
        <w:t>R</w:t>
      </w:r>
      <w:r w:rsidRPr="000A0F45">
        <w:t>eálný kurs v</w:t>
      </w:r>
      <w:r>
        <w:t> </w:t>
      </w:r>
      <w:r w:rsidRPr="000A0F45">
        <w:t xml:space="preserve">ČR </w:t>
      </w:r>
      <w:r>
        <w:t xml:space="preserve">v posledních letech </w:t>
      </w:r>
      <w:r w:rsidRPr="000A0F45">
        <w:t>rostl</w:t>
      </w:r>
      <w:r>
        <w:t xml:space="preserve"> (což znamená zhoršování cenové mezinárodní konkurenceschopnosti), protože č</w:t>
      </w:r>
      <w:r w:rsidRPr="000A0F45">
        <w:t>eská ekonomika jako celek čelila kombinaci růstu nákladů na pracovní sí</w:t>
      </w:r>
      <w:r>
        <w:t>lu a nominálnímu posilování kurz</w:t>
      </w:r>
      <w:r w:rsidRPr="000A0F45">
        <w:t>u koruny k</w:t>
      </w:r>
      <w:r>
        <w:t> </w:t>
      </w:r>
      <w:r w:rsidRPr="000A0F45">
        <w:t>euru</w:t>
      </w:r>
      <w:r>
        <w:t>, nedostatečně doprovázený růstem produktivity práce. Vývoj za poslední rok ukazuje na drobné zlepšení tohoto ukazatele, což je ale dáno především oslabením české koruny z důvodu kroků centrální banky a nepříliš dobrého ekonomického vývoje v ČR.</w:t>
      </w:r>
    </w:p>
    <w:p w:rsidR="006732A5" w:rsidRDefault="006732A5" w:rsidP="006732A5">
      <w:pPr>
        <w:pStyle w:val="Titulek"/>
        <w:spacing w:line="360" w:lineRule="auto"/>
      </w:pPr>
      <w:r>
        <w:t xml:space="preserve">Graf </w:t>
      </w:r>
      <w:fldSimple w:instr=" SEQ Graf \* ARABIC ">
        <w:r w:rsidR="00A828CC">
          <w:rPr>
            <w:noProof/>
          </w:rPr>
          <w:t>14</w:t>
        </w:r>
      </w:fldSimple>
      <w:r>
        <w:t xml:space="preserve">: </w:t>
      </w:r>
      <w:r w:rsidRPr="009319C0">
        <w:t>Reálný</w:t>
      </w:r>
      <w:r>
        <w:t xml:space="preserve"> efektivní měnový kurs (inde</w:t>
      </w:r>
      <w:r w:rsidR="001F3ED7">
        <w:t>x</w:t>
      </w:r>
      <w:r>
        <w:t>ováno k roku 2005, rok 2005</w:t>
      </w:r>
      <w:r w:rsidRPr="009319C0">
        <w:t>=100).</w:t>
      </w:r>
    </w:p>
    <w:p w:rsidR="006732A5" w:rsidRDefault="006732A5" w:rsidP="006732A5">
      <w:pPr>
        <w:spacing w:after="0" w:line="360" w:lineRule="auto"/>
        <w:jc w:val="left"/>
      </w:pPr>
      <w:r w:rsidRPr="00EF4135">
        <w:rPr>
          <w:noProof/>
          <w:lang w:eastAsia="cs-CZ"/>
        </w:rPr>
        <w:drawing>
          <wp:inline distT="0" distB="0" distL="0" distR="0">
            <wp:extent cx="5534025" cy="3009900"/>
            <wp:effectExtent l="0" t="0" r="0" b="0"/>
            <wp:docPr id="4"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732A5" w:rsidRDefault="006732A5" w:rsidP="006732A5">
      <w:pPr>
        <w:spacing w:after="0" w:line="360" w:lineRule="auto"/>
        <w:jc w:val="left"/>
      </w:pPr>
      <w:r>
        <w:t>Zdroj: Eurostat, 2013</w:t>
      </w:r>
    </w:p>
    <w:p w:rsidR="006732A5" w:rsidRDefault="006732A5" w:rsidP="006732A5">
      <w:pPr>
        <w:spacing w:line="360" w:lineRule="auto"/>
      </w:pPr>
      <w:r>
        <w:lastRenderedPageBreak/>
        <w:t>Dalším důležitým ukazatelem cenové konkurenceschopnosti jsou jednotkové náklady práce (ULC), které ukazují, jakou část hodnoty výstupu spotřebují náklady práce. Jsou přímo úměrné nákladům práce a nepřímo úměrné produktivitě práce. Následující graf ukazuje, že jednotkové náklady práce v ČR od roku 2008 neustále stoupají, což zhoršuje cenovou konkurenceschopnost českého exportu. Hlavní příčinou je, že produktivita práce v ČR sice dlouhodobě roste, ale nedostatečně rychle ve srovnání s náklady práce.</w:t>
      </w:r>
    </w:p>
    <w:p w:rsidR="006732A5" w:rsidRDefault="006732A5" w:rsidP="006732A5">
      <w:pPr>
        <w:spacing w:after="0" w:line="360" w:lineRule="auto"/>
        <w:jc w:val="left"/>
      </w:pPr>
    </w:p>
    <w:p w:rsidR="006732A5" w:rsidRPr="00F84DFE" w:rsidRDefault="006732A5" w:rsidP="006732A5">
      <w:pPr>
        <w:pStyle w:val="Titulek"/>
        <w:spacing w:line="360" w:lineRule="auto"/>
        <w:rPr>
          <w:b/>
        </w:rPr>
      </w:pPr>
      <w:r>
        <w:t xml:space="preserve">Graf </w:t>
      </w:r>
      <w:fldSimple w:instr=" SEQ Graf \* ARABIC ">
        <w:r w:rsidR="00A828CC">
          <w:rPr>
            <w:noProof/>
          </w:rPr>
          <w:t>15</w:t>
        </w:r>
      </w:fldSimple>
      <w:r>
        <w:t>: Jednotkové náklady práce (rok 2005=100)</w:t>
      </w:r>
    </w:p>
    <w:p w:rsidR="006732A5" w:rsidRDefault="006732A5" w:rsidP="006732A5">
      <w:pPr>
        <w:spacing w:after="0" w:line="360" w:lineRule="auto"/>
        <w:jc w:val="left"/>
      </w:pPr>
      <w:r w:rsidRPr="00665556">
        <w:rPr>
          <w:noProof/>
          <w:lang w:eastAsia="cs-CZ"/>
        </w:rPr>
        <w:drawing>
          <wp:inline distT="0" distB="0" distL="0" distR="0">
            <wp:extent cx="4943475" cy="2667000"/>
            <wp:effectExtent l="0" t="0" r="0" b="0"/>
            <wp:docPr id="5"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732A5" w:rsidRDefault="006732A5" w:rsidP="006732A5">
      <w:pPr>
        <w:spacing w:after="0" w:line="360" w:lineRule="auto"/>
        <w:jc w:val="left"/>
      </w:pPr>
      <w:r>
        <w:t>Zdroj: Eurostat, 2013</w:t>
      </w:r>
    </w:p>
    <w:p w:rsidR="006732A5" w:rsidRDefault="006732A5" w:rsidP="006732A5">
      <w:pPr>
        <w:spacing w:line="360" w:lineRule="auto"/>
      </w:pPr>
      <w:r>
        <w:t xml:space="preserve">Negativní trend cenové konkurenceschopnosti však neplatí pro celou ekonomiku. Sektory, které jsou vystaveny mezinárodní konkurenci (jako např. zpracovatelský průmysl či ICT sektor), musí udržovat svou cenovou konkurenceschopnost zvyšováním produktivity práce nebo přizpůsobením nákladů, aby byly na globalizovaném trhu úspěšné. </w:t>
      </w:r>
    </w:p>
    <w:p w:rsidR="00982F4E" w:rsidRDefault="00982F4E" w:rsidP="006732A5">
      <w:pPr>
        <w:spacing w:line="360" w:lineRule="auto"/>
      </w:pPr>
    </w:p>
    <w:p w:rsidR="006732A5" w:rsidRDefault="006732A5" w:rsidP="006732A5">
      <w:pPr>
        <w:pStyle w:val="Nadpis3"/>
        <w:numPr>
          <w:ilvl w:val="2"/>
          <w:numId w:val="1"/>
        </w:numPr>
        <w:spacing w:line="360" w:lineRule="auto"/>
      </w:pPr>
      <w:bookmarkStart w:id="20" w:name="_Toc368040290"/>
      <w:r>
        <w:t>Necenová konkurenceschopnost a podmínky pro podnikání v ČR</w:t>
      </w:r>
      <w:bookmarkEnd w:id="20"/>
    </w:p>
    <w:p w:rsidR="006732A5" w:rsidRPr="00982F4E" w:rsidRDefault="006732A5" w:rsidP="00982F4E">
      <w:pPr>
        <w:pStyle w:val="Normlnweb"/>
        <w:spacing w:line="360" w:lineRule="auto"/>
        <w:jc w:val="both"/>
        <w:rPr>
          <w:rFonts w:ascii="Garamond" w:eastAsia="Calibri" w:hAnsi="Garamond"/>
          <w:szCs w:val="22"/>
          <w:lang w:eastAsia="en-US"/>
        </w:rPr>
      </w:pPr>
      <w:r w:rsidRPr="00886871">
        <w:rPr>
          <w:rFonts w:ascii="Garamond" w:eastAsia="Calibri" w:hAnsi="Garamond"/>
          <w:szCs w:val="22"/>
          <w:lang w:eastAsia="en-US"/>
        </w:rPr>
        <w:t xml:space="preserve">Pokud by byla posuzována konkurenceschopnost pouze u homogenních produktů, pak by nám stačily běžné ukazatele cenové konkurenceschopnosti jako je REER, ULC, produktivita práce atd. Tyto ukazatele však nejsou všeobjímající v globální dynamické ekonomice plné inovací, kde se zdaleka nejedná o pouhé nákladové soupeření ve výrobě homogenních produktů. Necenová mezinárodní konkurenceschopnost proto zahrnuje zbývající dimenze mezinárodní konkurenceschopnosti. V Rámci strategie mezinárodní konkurenceschopnosti NERV (2011) byla </w:t>
      </w:r>
      <w:r w:rsidRPr="00886871">
        <w:rPr>
          <w:rFonts w:ascii="Garamond" w:eastAsia="Calibri" w:hAnsi="Garamond"/>
          <w:szCs w:val="22"/>
          <w:lang w:eastAsia="en-US"/>
        </w:rPr>
        <w:lastRenderedPageBreak/>
        <w:t>sestavena pyramida necenové konkurenceschopnosti, která vychází z Indexu globální</w:t>
      </w:r>
      <w:r w:rsidR="00B767F6">
        <w:rPr>
          <w:rFonts w:ascii="Garamond" w:eastAsia="Calibri" w:hAnsi="Garamond"/>
          <w:szCs w:val="22"/>
          <w:lang w:eastAsia="en-US"/>
        </w:rPr>
        <w:t xml:space="preserve"> </w:t>
      </w:r>
      <w:r w:rsidRPr="00886871">
        <w:rPr>
          <w:rFonts w:ascii="Garamond" w:eastAsia="Calibri" w:hAnsi="Garamond"/>
          <w:szCs w:val="22"/>
          <w:lang w:eastAsia="en-US"/>
        </w:rPr>
        <w:t xml:space="preserve">konkurenceschopnosti Světového ekonomického fóra, (Sala-i-Martin et al. 2010). Na obrázku níže je znázorněna zjednodušená pyramida, kterou jsme aktualizovali na základě indexů pro rok 2013. Základní předpoklady konkurenceschopnosti najdeme v základních kamenech pyramidy. Patří mezi ně kvalita infrastruktury, makroekonomické prostředí, instituce a zdravotnictví se základním vzděláním. Uprostřed pyramidy najdeme faktory </w:t>
      </w:r>
      <w:r>
        <w:rPr>
          <w:rFonts w:ascii="Garamond" w:eastAsia="Calibri" w:hAnsi="Garamond"/>
          <w:szCs w:val="22"/>
          <w:lang w:eastAsia="en-US"/>
        </w:rPr>
        <w:t xml:space="preserve">efektivity: </w:t>
      </w:r>
      <w:r w:rsidRPr="00886871">
        <w:rPr>
          <w:rFonts w:ascii="Garamond" w:eastAsia="Calibri" w:hAnsi="Garamond"/>
          <w:szCs w:val="22"/>
          <w:lang w:eastAsia="en-US"/>
        </w:rPr>
        <w:t>účinnost trhu práce, kvalitu vyššího vzdělání, technologickou připravenost, efektivitu trhu zboží, vývoj finančního trhu a velikost trhu. Inovační faktory jsou dlouhodobě podmíněny příznivými základními kameny, ale také jejich efektivností, proto je najdeme v horní části pyramidy. Čím je světlejší barva části pyramidy, tím je ČR v daném faktoru konkurenceschopnější.</w:t>
      </w:r>
    </w:p>
    <w:p w:rsidR="006732A5" w:rsidRPr="0027409B" w:rsidRDefault="006732A5" w:rsidP="006732A5">
      <w:pPr>
        <w:pStyle w:val="Titulek"/>
        <w:spacing w:line="360" w:lineRule="auto"/>
        <w:rPr>
          <w:b/>
          <w:bCs w:val="0"/>
        </w:rPr>
      </w:pPr>
      <w:r>
        <w:t xml:space="preserve">Obrázek </w:t>
      </w:r>
      <w:fldSimple w:instr=" SEQ Obrázek \* ARABIC ">
        <w:r w:rsidR="00A828CC">
          <w:rPr>
            <w:noProof/>
          </w:rPr>
          <w:t>6</w:t>
        </w:r>
      </w:fldSimple>
      <w:r>
        <w:t xml:space="preserve">: </w:t>
      </w:r>
      <w:r w:rsidRPr="00AD3B1C">
        <w:rPr>
          <w:rStyle w:val="Siln"/>
          <w:b w:val="0"/>
        </w:rPr>
        <w:t>Pyramida konkurenceschopnosti- zjednodušená</w:t>
      </w:r>
      <w:r>
        <w:rPr>
          <w:rStyle w:val="Siln"/>
          <w:b w:val="0"/>
        </w:rPr>
        <w:t xml:space="preserve"> (čím světlejší, tím větší konkurenceschopnost)</w:t>
      </w:r>
    </w:p>
    <w:p w:rsidR="006732A5" w:rsidRDefault="00467841" w:rsidP="006732A5">
      <w:pPr>
        <w:spacing w:after="0" w:line="360" w:lineRule="auto"/>
        <w:jc w:val="left"/>
        <w:rPr>
          <w:rFonts w:ascii="Cambria" w:eastAsia="Times New Roman" w:hAnsi="Cambria"/>
          <w:b/>
          <w:bCs/>
          <w:color w:val="B6B003"/>
          <w:sz w:val="28"/>
          <w:szCs w:val="28"/>
        </w:rPr>
      </w:pPr>
      <w:r>
        <w:rPr>
          <w:rFonts w:ascii="Cambria" w:eastAsia="Times New Roman" w:hAnsi="Cambria"/>
          <w:b/>
          <w:bCs/>
          <w:noProof/>
          <w:color w:val="B6B003"/>
          <w:sz w:val="28"/>
          <w:szCs w:val="28"/>
          <w:lang w:eastAsia="cs-CZ"/>
        </w:rPr>
      </w:r>
      <w:r>
        <w:rPr>
          <w:rFonts w:ascii="Cambria" w:eastAsia="Times New Roman" w:hAnsi="Cambria"/>
          <w:b/>
          <w:bCs/>
          <w:noProof/>
          <w:color w:val="B6B003"/>
          <w:sz w:val="28"/>
          <w:szCs w:val="28"/>
          <w:lang w:eastAsia="cs-CZ"/>
        </w:rPr>
        <w:pict>
          <v:group id="Skupina 1" o:spid="_x0000_s1026" style="width:453.5pt;height:358.2pt;mso-position-horizontal-relative:char;mso-position-vertical-relative:line" coordorigin="7555,4150" coordsize="76328,6027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7555;top:9007;width:69848;height:509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iLkTAAAAA2wAAAA8AAABkcnMvZG93bnJldi54bWxEj81qwzAQhO+FvoPYQm+J7ECb4kYJodTg&#10;a9zS88ba2G6klZEU23n7KFDocZifj9nsZmvESD70jhXkywwEceN0z62C769y8QYiRGSNxjEpuFKA&#10;3fbxYYOFdhMfaKxjK9IIhwIVdDEOhZSh6chiWLqBOHkn5y3GJH0rtccpjVsjV1n2Ki32nAgdDvTR&#10;UXOuLzZxPZcvlXGtlFT9fv4cj/XJeKWen+b9O4hIc/wP/7UrrWCdw/1L+gFye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eIuRMAAAADbAAAADwAAAAAAAAAAAAAAAACfAgAA&#10;ZHJzL2Rvd25yZXYueG1sUEsFBgAAAAAEAAQA9wAAAIwDAAAAAA==&#10;">
              <v:imagedata r:id="rId30" o:title=""/>
            </v:shape>
            <v:rect id="Obdélník 72" o:spid="_x0000_s1028" style="position:absolute;left:73803;top:4150;width:10081;height:568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SBi8QA&#10;AADbAAAADwAAAGRycy9kb3ducmV2LnhtbESPQWvCQBSE74L/YXlCb7qpJY2kriLShtRb1Xh+ZF+T&#10;0OzbNLua9N93hUKPw8x8w6y3o2nFjXrXWFbwuIhAEJdWN1wpOJ/e5isQziNrbC2Tgh9ysN1MJ2tM&#10;tR34g25HX4kAYZeigtr7LpXSlTUZdAvbEQfv0/YGfZB9JXWPQ4CbVi6j6FkabDgs1NjRvqby63g1&#10;Cq5x8v46Xr6zpyIqkkPRxrnPOqUeZuPuBYSn0f+H/9q5VpAs4f4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gYvEAAAA2wAAAA8AAAAAAAAAAAAAAAAAmAIAAGRycy9k&#10;b3ducmV2LnhtbFBLBQYAAAAABAAEAPUAAACJAwAAAAA=&#10;" fillcolor="white [3212]" stroked="f" strokeweight="2pt">
              <v:textbox>
                <w:txbxContent>
                  <w:p w:rsidR="00CE7979" w:rsidRDefault="00CE7979" w:rsidP="00793239">
                    <w:pPr>
                      <w:rPr>
                        <w:rFonts w:eastAsia="Times New Roman"/>
                      </w:rPr>
                    </w:pPr>
                  </w:p>
                </w:txbxContent>
              </v:textbox>
            </v:rect>
            <v:rect id="Obdélník 73" o:spid="_x0000_s1029" style="position:absolute;left:60714;top:22252;width:3601;height:37536;rotation:-2168517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sga8UA&#10;AADbAAAADwAAAGRycy9kb3ducmV2LnhtbESPT2vCQBTE7wW/w/IKXoputGBs6hqCtNCjf4LQ2yP7&#10;TILZtzG7jfHbdwXB4zAzv2FW6WAa0VPnassKZtMIBHFhdc2lgvzwPVmCcB5ZY2OZFNzIQboevaww&#10;0fbKO+r3vhQBwi5BBZX3bSKlKyoy6Ka2JQ7eyXYGfZBdKXWH1wA3jZxH0UIarDksVNjSpqLivP8z&#10;Co5v2WaxO25/Lx9b9KfZ1/kWt7lS49ch+wThafDP8KP9oxXE73D/En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yBrxQAAANsAAAAPAAAAAAAAAAAAAAAAAJgCAABkcnMv&#10;ZG93bnJldi54bWxQSwUGAAAAAAQABAD1AAAAigMAAAAA&#10;" fillcolor="white [3212]" stroked="f" strokeweight="2pt">
              <v:textbox>
                <w:txbxContent>
                  <w:p w:rsidR="00CE7979" w:rsidRDefault="00CE7979" w:rsidP="00793239">
                    <w:pPr>
                      <w:rPr>
                        <w:rFonts w:eastAsia="Times New Roman"/>
                      </w:rPr>
                    </w:pPr>
                  </w:p>
                </w:txbxContent>
              </v:textbox>
            </v:rect>
            <v:rect id="Obdélník 74" o:spid="_x0000_s1030" style="position:absolute;left:20590;top:4704;width:3600;height:59725;rotation:2266914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84GcYA&#10;AADbAAAADwAAAGRycy9kb3ducmV2LnhtbESPQWvCQBSE70L/w/IKvemmVtsSXaVExFYPRevF2yP7&#10;zKbNvg3ZNUZ/fbcg9DjMzDfMdN7ZSrTU+NKxgsdBAoI4d7rkQsH+a9l/BeEDssbKMSm4kIf57K43&#10;xVS7M2+p3YVCRAj7FBWYEOpUSp8bsugHriaO3tE1FkOUTSF1g+cIt5UcJsmztFhyXDBYU2Yo/9md&#10;rIInvVhmH+vs0xw2Y73ajr5ly1elHu67twmIQF34D9/a71rBywj+vs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84GcYAAADbAAAADwAAAAAAAAAAAAAAAACYAgAAZHJz&#10;L2Rvd25yZXYueG1sUEsFBgAAAAAEAAQA9QAAAIsDAAAAAA==&#10;" fillcolor="white [3212]" stroked="f" strokeweight="2pt">
              <v:textbox>
                <w:txbxContent>
                  <w:p w:rsidR="00CE7979" w:rsidRDefault="00CE7979" w:rsidP="00793239">
                    <w:pPr>
                      <w:rPr>
                        <w:rFonts w:eastAsia="Times New Roman"/>
                      </w:rPr>
                    </w:pPr>
                  </w:p>
                </w:txbxContent>
              </v:textbox>
            </v:rect>
            <v:rect id="Obdélník 75" o:spid="_x0000_s1031" style="position:absolute;left:46756;top:5945;width:5040;height:27589;rotation:-2316931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JH8QA&#10;AADbAAAADwAAAGRycy9kb3ducmV2LnhtbESPzWrCQBSF94LvMFyhG6kTldqQZiJFkHbjwthF3V0y&#10;10xo5k6aGTV9e0couDycn4+Trwfbigv1vnGsYD5LQBBXTjdcK/g6bJ9TED4ga2wdk4I/8rAuxqMc&#10;M+2uvKdLGWoRR9hnqMCE0GVS+sqQRT9zHXH0Tq63GKLsa6l7vMZx28pFkqykxYYjwWBHG0PVT3m2&#10;EbI8fGzPq6P53pVz7n73vpymqVJPk+H9DUSgITzC/+1PreD1Be5f4g+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gyR/EAAAA2wAAAA8AAAAAAAAAAAAAAAAAmAIAAGRycy9k&#10;b3ducmV2LnhtbFBLBQYAAAAABAAEAPUAAACJAwAAAAA=&#10;" fillcolor="white [3212]" stroked="f" strokeweight="2pt">
              <v:textbox>
                <w:txbxContent>
                  <w:p w:rsidR="00CE7979" w:rsidRDefault="00CE7979" w:rsidP="00793239">
                    <w:pPr>
                      <w:rPr>
                        <w:rFonts w:eastAsia="Times New Roman"/>
                      </w:rPr>
                    </w:pPr>
                  </w:p>
                </w:txbxContent>
              </v:textbox>
            </v:rect>
            <w10:wrap type="none"/>
            <w10:anchorlock/>
          </v:group>
        </w:pict>
      </w:r>
    </w:p>
    <w:p w:rsidR="006732A5" w:rsidRDefault="006732A5" w:rsidP="006732A5">
      <w:pPr>
        <w:spacing w:line="360" w:lineRule="auto"/>
      </w:pPr>
      <w:r>
        <w:rPr>
          <w:noProof/>
        </w:rPr>
        <w:t xml:space="preserve">Zdroj: EEIP, a.s., data </w:t>
      </w:r>
      <w:r>
        <w:t>Index globální konkurenceschopnosti Světového ekonomického fóra, 2013</w:t>
      </w:r>
    </w:p>
    <w:p w:rsidR="00005A29" w:rsidRDefault="006732A5" w:rsidP="006732A5">
      <w:pPr>
        <w:tabs>
          <w:tab w:val="left" w:pos="5193"/>
        </w:tabs>
        <w:spacing w:line="360" w:lineRule="auto"/>
      </w:pPr>
      <w:r>
        <w:tab/>
      </w:r>
    </w:p>
    <w:p w:rsidR="006732A5" w:rsidRPr="00886871" w:rsidRDefault="006732A5" w:rsidP="006732A5">
      <w:pPr>
        <w:pStyle w:val="Normlnweb"/>
        <w:spacing w:line="360" w:lineRule="auto"/>
        <w:jc w:val="both"/>
        <w:rPr>
          <w:rFonts w:ascii="Garamond" w:eastAsia="Calibri" w:hAnsi="Garamond"/>
          <w:szCs w:val="22"/>
          <w:lang w:eastAsia="en-US"/>
        </w:rPr>
      </w:pPr>
      <w:r w:rsidRPr="00886871">
        <w:rPr>
          <w:rFonts w:ascii="Garamond" w:eastAsia="Calibri" w:hAnsi="Garamond"/>
          <w:szCs w:val="22"/>
          <w:lang w:eastAsia="en-US"/>
        </w:rPr>
        <w:lastRenderedPageBreak/>
        <w:t>Z pyramidy je vidět, že na tom ČR ve faktorech necenové konkurenceschopnosti není příliš dobře.</w:t>
      </w:r>
      <w:r>
        <w:rPr>
          <w:rFonts w:ascii="Garamond" w:eastAsia="Calibri" w:hAnsi="Garamond"/>
          <w:szCs w:val="22"/>
          <w:lang w:eastAsia="en-US"/>
        </w:rPr>
        <w:t xml:space="preserve"> </w:t>
      </w:r>
      <w:r w:rsidRPr="00886871">
        <w:rPr>
          <w:rFonts w:ascii="Garamond" w:eastAsia="Calibri" w:hAnsi="Garamond"/>
          <w:szCs w:val="22"/>
          <w:lang w:eastAsia="en-US"/>
        </w:rPr>
        <w:t>Ani v jednom ze základních ukazatelů ve zjednodušené pyramidě nepatří ČR mezi nejlepších 20 zemí (žádné políčko není bílé) a naopak v institucích patří mezi nejhorší ze 142 pozorovaných zemí. Bohužel ani trend není příliš dobrý a dochází spíše k meziročnímu mírnému zhoršování. V celkovém hodnocení se Česká republika umístila v roce 2009 na 31., v roce 2010 na 36., v roce 2011 na 38. místě a v roce 2012 na 39. místě. Necenová konkurenceschopnost České republiky tak nevykazuje zlepšení, což představuje riziko pro budoucí vývoj celé ekonomiky.</w:t>
      </w:r>
    </w:p>
    <w:p w:rsidR="006732A5" w:rsidRPr="00886871" w:rsidRDefault="006732A5" w:rsidP="006732A5">
      <w:pPr>
        <w:pStyle w:val="Normlnweb"/>
        <w:spacing w:line="360" w:lineRule="auto"/>
        <w:jc w:val="both"/>
        <w:rPr>
          <w:rFonts w:ascii="Garamond" w:eastAsia="Calibri" w:hAnsi="Garamond"/>
          <w:szCs w:val="22"/>
          <w:lang w:eastAsia="en-US"/>
        </w:rPr>
      </w:pPr>
      <w:r w:rsidRPr="00886871">
        <w:rPr>
          <w:rFonts w:ascii="Garamond" w:eastAsia="Calibri" w:hAnsi="Garamond"/>
          <w:szCs w:val="22"/>
          <w:lang w:eastAsia="en-US"/>
        </w:rPr>
        <w:t>Ve struktuře pyramidy necenové konkurenceschopnosti ČR můžeme najít i paralely s konkurenceschopností internetové ekonomiky. V</w:t>
      </w:r>
      <w:r>
        <w:rPr>
          <w:rFonts w:ascii="Garamond" w:eastAsia="Calibri" w:hAnsi="Garamond"/>
          <w:szCs w:val="22"/>
          <w:lang w:eastAsia="en-US"/>
        </w:rPr>
        <w:t xml:space="preserve"> </w:t>
      </w:r>
      <w:r w:rsidRPr="00886871">
        <w:rPr>
          <w:rFonts w:ascii="Garamond" w:eastAsia="Calibri" w:hAnsi="Garamond"/>
          <w:szCs w:val="22"/>
          <w:lang w:eastAsia="en-US"/>
        </w:rPr>
        <w:t>základních kamenech pyramidy můžeme nalézt hlavní předpoklady pro rozvoj internetové ekonomiky.</w:t>
      </w:r>
    </w:p>
    <w:p w:rsidR="006732A5" w:rsidRPr="00886871" w:rsidRDefault="006732A5" w:rsidP="006732A5">
      <w:pPr>
        <w:pStyle w:val="Normlnweb"/>
        <w:spacing w:line="360" w:lineRule="auto"/>
        <w:jc w:val="both"/>
        <w:rPr>
          <w:rFonts w:ascii="Garamond" w:eastAsia="Calibri" w:hAnsi="Garamond"/>
          <w:szCs w:val="22"/>
          <w:lang w:eastAsia="en-US"/>
        </w:rPr>
      </w:pPr>
      <w:r w:rsidRPr="00886871">
        <w:rPr>
          <w:rFonts w:ascii="Garamond" w:eastAsia="Calibri" w:hAnsi="Garamond"/>
          <w:szCs w:val="22"/>
          <w:lang w:eastAsia="en-US"/>
        </w:rPr>
        <w:t xml:space="preserve">Bez kvalitní </w:t>
      </w:r>
      <w:r w:rsidRPr="00B901A0">
        <w:rPr>
          <w:rFonts w:ascii="Garamond" w:eastAsia="Calibri" w:hAnsi="Garamond"/>
          <w:b/>
          <w:szCs w:val="22"/>
          <w:lang w:eastAsia="en-US"/>
        </w:rPr>
        <w:t>infrastruktury</w:t>
      </w:r>
      <w:r w:rsidRPr="00886871">
        <w:rPr>
          <w:rFonts w:ascii="Garamond" w:eastAsia="Calibri" w:hAnsi="Garamond"/>
          <w:szCs w:val="22"/>
          <w:lang w:eastAsia="en-US"/>
        </w:rPr>
        <w:t xml:space="preserve"> (internetového připojení, elektrické sítě) není možné rozvíjet internetovou ekonomiku, neboť infrastruktura neumožní dostatečnou penetraci ve všech oblastech</w:t>
      </w:r>
      <w:r>
        <w:rPr>
          <w:rFonts w:ascii="Garamond" w:eastAsia="Calibri" w:hAnsi="Garamond"/>
          <w:szCs w:val="22"/>
          <w:lang w:eastAsia="en-US"/>
        </w:rPr>
        <w:t xml:space="preserve"> </w:t>
      </w:r>
      <w:r w:rsidRPr="00886871">
        <w:rPr>
          <w:rFonts w:ascii="Garamond" w:eastAsia="Calibri" w:hAnsi="Garamond"/>
          <w:szCs w:val="22"/>
          <w:lang w:eastAsia="en-US"/>
        </w:rPr>
        <w:t xml:space="preserve">republiky. Kvalita infrastruktury je také </w:t>
      </w:r>
      <w:r>
        <w:rPr>
          <w:rFonts w:ascii="Garamond" w:eastAsia="Calibri" w:hAnsi="Garamond"/>
          <w:szCs w:val="22"/>
          <w:lang w:eastAsia="en-US"/>
        </w:rPr>
        <w:t xml:space="preserve">v druhé části této analýzy </w:t>
      </w:r>
      <w:r w:rsidRPr="00886871">
        <w:rPr>
          <w:rFonts w:ascii="Garamond" w:eastAsia="Calibri" w:hAnsi="Garamond"/>
          <w:szCs w:val="22"/>
          <w:lang w:eastAsia="en-US"/>
        </w:rPr>
        <w:t>definována jako jedna z hlavních možných budoucích překážek pro rozvoj české internetové ekonomiky.</w:t>
      </w:r>
    </w:p>
    <w:p w:rsidR="006732A5" w:rsidRPr="00886871" w:rsidRDefault="006732A5" w:rsidP="006732A5">
      <w:pPr>
        <w:pStyle w:val="Normlnweb"/>
        <w:spacing w:line="360" w:lineRule="auto"/>
        <w:jc w:val="both"/>
        <w:rPr>
          <w:rFonts w:ascii="Garamond" w:eastAsia="Calibri" w:hAnsi="Garamond"/>
          <w:szCs w:val="22"/>
          <w:lang w:eastAsia="en-US"/>
        </w:rPr>
      </w:pPr>
      <w:r w:rsidRPr="00B901A0">
        <w:rPr>
          <w:rFonts w:ascii="Garamond" w:eastAsia="Calibri" w:hAnsi="Garamond"/>
          <w:b/>
          <w:szCs w:val="22"/>
          <w:lang w:eastAsia="en-US"/>
        </w:rPr>
        <w:t>Instituce</w:t>
      </w:r>
      <w:r w:rsidRPr="00886871">
        <w:rPr>
          <w:rFonts w:ascii="Garamond" w:eastAsia="Calibri" w:hAnsi="Garamond"/>
          <w:szCs w:val="22"/>
          <w:lang w:eastAsia="en-US"/>
        </w:rPr>
        <w:t xml:space="preserve"> také tvoří základní kámen pro rozvoj internetové ekonomiky. Bariéry </w:t>
      </w:r>
      <w:r>
        <w:rPr>
          <w:rFonts w:ascii="Garamond" w:eastAsia="Calibri" w:hAnsi="Garamond"/>
          <w:szCs w:val="22"/>
          <w:lang w:eastAsia="en-US"/>
        </w:rPr>
        <w:t xml:space="preserve">rozvoje </w:t>
      </w:r>
      <w:r w:rsidRPr="00886871">
        <w:rPr>
          <w:rFonts w:ascii="Garamond" w:eastAsia="Calibri" w:hAnsi="Garamond"/>
          <w:szCs w:val="22"/>
          <w:lang w:eastAsia="en-US"/>
        </w:rPr>
        <w:t>mohou vytvářet například institucionální překážky typu nedostatečného používání internetu veřejnými institucemi při komunikaci s firmami i s jednotlivci, nedostatečný zájem ze strany veřejných institucí (a z toho pramenící nepochopení potř</w:t>
      </w:r>
      <w:r>
        <w:rPr>
          <w:rFonts w:ascii="Garamond" w:eastAsia="Calibri" w:hAnsi="Garamond"/>
          <w:szCs w:val="22"/>
          <w:lang w:eastAsia="en-US"/>
        </w:rPr>
        <w:t>eb pro rozvoj) nebo příliš silná forma</w:t>
      </w:r>
      <w:r w:rsidRPr="00886871">
        <w:rPr>
          <w:rFonts w:ascii="Garamond" w:eastAsia="Calibri" w:hAnsi="Garamond"/>
          <w:szCs w:val="22"/>
          <w:lang w:eastAsia="en-US"/>
        </w:rPr>
        <w:t xml:space="preserve"> regulace.</w:t>
      </w:r>
    </w:p>
    <w:p w:rsidR="006732A5" w:rsidRPr="00886871" w:rsidRDefault="006732A5" w:rsidP="006732A5">
      <w:pPr>
        <w:pStyle w:val="Normlnweb"/>
        <w:spacing w:line="360" w:lineRule="auto"/>
        <w:jc w:val="both"/>
        <w:rPr>
          <w:rFonts w:ascii="Garamond" w:eastAsia="Calibri" w:hAnsi="Garamond"/>
          <w:szCs w:val="22"/>
          <w:lang w:eastAsia="en-US"/>
        </w:rPr>
      </w:pPr>
      <w:r w:rsidRPr="00B901A0">
        <w:rPr>
          <w:rFonts w:ascii="Garamond" w:eastAsia="Calibri" w:hAnsi="Garamond"/>
          <w:b/>
          <w:szCs w:val="22"/>
          <w:lang w:eastAsia="en-US"/>
        </w:rPr>
        <w:t>Kvalita základního školství</w:t>
      </w:r>
      <w:r w:rsidRPr="00886871">
        <w:rPr>
          <w:rFonts w:ascii="Garamond" w:eastAsia="Calibri" w:hAnsi="Garamond"/>
          <w:szCs w:val="22"/>
          <w:lang w:eastAsia="en-US"/>
        </w:rPr>
        <w:t xml:space="preserve"> ve spodní části pyramidy je důležitá pro rozvoj internetové a počítačové gramotnosti a ta je základem pro vyšší kameny pyramidy. Za prvé je základem pro vyšší vzdělání, čímž ovlivňuje skupinu IT specialistů a kvalifikovaných uživatelů (tím ovlivňuje i </w:t>
      </w:r>
      <w:r w:rsidRPr="00B901A0">
        <w:rPr>
          <w:rFonts w:ascii="Garamond" w:eastAsia="Calibri" w:hAnsi="Garamond"/>
          <w:b/>
          <w:szCs w:val="22"/>
          <w:lang w:eastAsia="en-US"/>
        </w:rPr>
        <w:t>rovnováhu na trhu práce</w:t>
      </w:r>
      <w:r w:rsidRPr="00886871">
        <w:rPr>
          <w:rFonts w:ascii="Garamond" w:eastAsia="Calibri" w:hAnsi="Garamond"/>
          <w:szCs w:val="22"/>
          <w:lang w:eastAsia="en-US"/>
        </w:rPr>
        <w:t xml:space="preserve"> v internetové ekonomice).</w:t>
      </w:r>
      <w:r>
        <w:rPr>
          <w:rFonts w:ascii="Garamond" w:eastAsia="Calibri" w:hAnsi="Garamond"/>
          <w:szCs w:val="22"/>
          <w:lang w:eastAsia="en-US"/>
        </w:rPr>
        <w:t xml:space="preserve"> </w:t>
      </w:r>
      <w:r w:rsidRPr="00886871">
        <w:rPr>
          <w:rFonts w:ascii="Garamond" w:eastAsia="Calibri" w:hAnsi="Garamond"/>
          <w:szCs w:val="22"/>
          <w:lang w:eastAsia="en-US"/>
        </w:rPr>
        <w:t>Další skupinou, na kterou má kvalitní internetové vzdělání velký vliv</w:t>
      </w:r>
      <w:r>
        <w:rPr>
          <w:rFonts w:ascii="Garamond" w:eastAsia="Calibri" w:hAnsi="Garamond"/>
          <w:szCs w:val="22"/>
          <w:lang w:eastAsia="en-US"/>
        </w:rPr>
        <w:t>,</w:t>
      </w:r>
      <w:r w:rsidRPr="00886871">
        <w:rPr>
          <w:rFonts w:ascii="Garamond" w:eastAsia="Calibri" w:hAnsi="Garamond"/>
          <w:szCs w:val="22"/>
          <w:lang w:eastAsia="en-US"/>
        </w:rPr>
        <w:t xml:space="preserve"> jsou běžní uživatelé internetu. Jestliže běžní uživatelé nemají dobré e-skills, pak potenciál internetové ekonomiky zůstává nevyužit, protože většinová populace neumí benefity, které internet nabízí</w:t>
      </w:r>
      <w:r w:rsidR="00B767F6">
        <w:rPr>
          <w:rFonts w:ascii="Garamond" w:eastAsia="Calibri" w:hAnsi="Garamond"/>
          <w:szCs w:val="22"/>
          <w:lang w:eastAsia="en-US"/>
        </w:rPr>
        <w:t>,</w:t>
      </w:r>
      <w:r w:rsidRPr="00886871">
        <w:rPr>
          <w:rFonts w:ascii="Garamond" w:eastAsia="Calibri" w:hAnsi="Garamond"/>
          <w:szCs w:val="22"/>
          <w:lang w:eastAsia="en-US"/>
        </w:rPr>
        <w:t xml:space="preserve"> dostatečně využít. Tento fakt ovlivňuje i </w:t>
      </w:r>
      <w:r w:rsidRPr="00B901A0">
        <w:rPr>
          <w:rFonts w:ascii="Garamond" w:eastAsia="Calibri" w:hAnsi="Garamond"/>
          <w:b/>
          <w:szCs w:val="22"/>
          <w:lang w:eastAsia="en-US"/>
        </w:rPr>
        <w:t>efektivitu trhu zboží</w:t>
      </w:r>
      <w:r>
        <w:rPr>
          <w:rFonts w:ascii="Garamond" w:eastAsia="Calibri" w:hAnsi="Garamond"/>
          <w:szCs w:val="22"/>
          <w:lang w:eastAsia="en-US"/>
        </w:rPr>
        <w:t>, neboť velká část výhod, které</w:t>
      </w:r>
      <w:r w:rsidRPr="00886871">
        <w:rPr>
          <w:rFonts w:ascii="Garamond" w:eastAsia="Calibri" w:hAnsi="Garamond"/>
          <w:szCs w:val="22"/>
          <w:lang w:eastAsia="en-US"/>
        </w:rPr>
        <w:t xml:space="preserve"> internet nabízí</w:t>
      </w:r>
      <w:r>
        <w:rPr>
          <w:rFonts w:ascii="Garamond" w:eastAsia="Calibri" w:hAnsi="Garamond"/>
          <w:szCs w:val="22"/>
          <w:lang w:eastAsia="en-US"/>
        </w:rPr>
        <w:t>,</w:t>
      </w:r>
      <w:r w:rsidRPr="00886871">
        <w:rPr>
          <w:rFonts w:ascii="Garamond" w:eastAsia="Calibri" w:hAnsi="Garamond"/>
          <w:szCs w:val="22"/>
          <w:lang w:eastAsia="en-US"/>
        </w:rPr>
        <w:t xml:space="preserve"> představuje úsporu nákladů na distribuci a úsporu časových nákladů na vyhledávání zboží. S elektronickou komercí je trh zboží více efektivní.</w:t>
      </w:r>
    </w:p>
    <w:p w:rsidR="006732A5" w:rsidRPr="00886871" w:rsidRDefault="006732A5" w:rsidP="006732A5">
      <w:pPr>
        <w:pStyle w:val="Normlnweb"/>
        <w:spacing w:line="360" w:lineRule="auto"/>
        <w:jc w:val="both"/>
        <w:rPr>
          <w:rFonts w:ascii="Garamond" w:eastAsia="Calibri" w:hAnsi="Garamond"/>
          <w:szCs w:val="22"/>
          <w:lang w:eastAsia="en-US"/>
        </w:rPr>
      </w:pPr>
      <w:r w:rsidRPr="00B901A0">
        <w:rPr>
          <w:rFonts w:ascii="Garamond" w:eastAsia="Calibri" w:hAnsi="Garamond"/>
          <w:b/>
          <w:szCs w:val="22"/>
          <w:lang w:eastAsia="en-US"/>
        </w:rPr>
        <w:t>Technologická připravenost</w:t>
      </w:r>
      <w:r w:rsidRPr="00886871">
        <w:rPr>
          <w:rFonts w:ascii="Garamond" w:eastAsia="Calibri" w:hAnsi="Garamond"/>
          <w:szCs w:val="22"/>
          <w:lang w:eastAsia="en-US"/>
        </w:rPr>
        <w:t xml:space="preserve"> v prostřední části pyramidy vychází z </w:t>
      </w:r>
      <w:r w:rsidRPr="00B901A0">
        <w:rPr>
          <w:rFonts w:ascii="Garamond" w:eastAsia="Calibri" w:hAnsi="Garamond"/>
          <w:b/>
          <w:szCs w:val="22"/>
          <w:lang w:eastAsia="en-US"/>
        </w:rPr>
        <w:t>kvalitní infrastruktury</w:t>
      </w:r>
      <w:r w:rsidRPr="00886871">
        <w:rPr>
          <w:rFonts w:ascii="Garamond" w:eastAsia="Calibri" w:hAnsi="Garamond"/>
          <w:szCs w:val="22"/>
          <w:lang w:eastAsia="en-US"/>
        </w:rPr>
        <w:t xml:space="preserve">, </w:t>
      </w:r>
      <w:r w:rsidRPr="00B901A0">
        <w:rPr>
          <w:rFonts w:ascii="Garamond" w:eastAsia="Calibri" w:hAnsi="Garamond"/>
          <w:b/>
          <w:szCs w:val="22"/>
          <w:lang w:eastAsia="en-US"/>
        </w:rPr>
        <w:t>kvalitních institucí</w:t>
      </w:r>
      <w:r w:rsidRPr="00886871">
        <w:rPr>
          <w:rFonts w:ascii="Garamond" w:eastAsia="Calibri" w:hAnsi="Garamond"/>
          <w:szCs w:val="22"/>
          <w:lang w:eastAsia="en-US"/>
        </w:rPr>
        <w:t xml:space="preserve"> (veřejné instituce nebrzdí a naopak podporují technologický rozvoj v tomto </w:t>
      </w:r>
      <w:r w:rsidRPr="00886871">
        <w:rPr>
          <w:rFonts w:ascii="Garamond" w:eastAsia="Calibri" w:hAnsi="Garamond"/>
          <w:szCs w:val="22"/>
          <w:lang w:eastAsia="en-US"/>
        </w:rPr>
        <w:lastRenderedPageBreak/>
        <w:t xml:space="preserve">segmentu) a </w:t>
      </w:r>
      <w:r w:rsidRPr="00B901A0">
        <w:rPr>
          <w:rFonts w:ascii="Garamond" w:eastAsia="Calibri" w:hAnsi="Garamond"/>
          <w:b/>
          <w:szCs w:val="22"/>
          <w:lang w:eastAsia="en-US"/>
        </w:rPr>
        <w:t>makroekonomického prostředí</w:t>
      </w:r>
      <w:r w:rsidRPr="00886871">
        <w:rPr>
          <w:rFonts w:ascii="Garamond" w:eastAsia="Calibri" w:hAnsi="Garamond"/>
          <w:szCs w:val="22"/>
          <w:lang w:eastAsia="en-US"/>
        </w:rPr>
        <w:t xml:space="preserve"> (důležité pro zahraniční investice a investice obecně).</w:t>
      </w:r>
    </w:p>
    <w:p w:rsidR="006732A5" w:rsidRPr="00886871" w:rsidRDefault="006732A5" w:rsidP="006732A5">
      <w:pPr>
        <w:pStyle w:val="Normlnweb"/>
        <w:spacing w:line="360" w:lineRule="auto"/>
        <w:jc w:val="both"/>
        <w:rPr>
          <w:rFonts w:ascii="Garamond" w:eastAsia="Calibri" w:hAnsi="Garamond"/>
          <w:szCs w:val="22"/>
          <w:lang w:eastAsia="en-US"/>
        </w:rPr>
      </w:pPr>
      <w:r w:rsidRPr="00B901A0">
        <w:rPr>
          <w:rFonts w:ascii="Garamond" w:eastAsia="Calibri" w:hAnsi="Garamond"/>
          <w:b/>
          <w:szCs w:val="22"/>
          <w:lang w:eastAsia="en-US"/>
        </w:rPr>
        <w:t>Velikost trhu</w:t>
      </w:r>
      <w:r w:rsidRPr="00886871">
        <w:rPr>
          <w:rFonts w:ascii="Garamond" w:eastAsia="Calibri" w:hAnsi="Garamond"/>
          <w:szCs w:val="22"/>
          <w:lang w:eastAsia="en-US"/>
        </w:rPr>
        <w:t xml:space="preserve"> může malá země jako je ČR ovlivnit jen částečně. V odvětví internetové ekonomiky bude globálně nadále vnímána jako součást většího trhu- střední a východní Evropy. Nicméně pro hospodářský růst a konkurenceschopnost české ekonomiky je rozvoj internetové ekonomiky žádoucí. Bariérám dalšího rozvoje internetové ekonomiky se věnuje tato studie v další části, nicméně lze říci, že hlavní překážky úzce souvisí se základními kameny pyramidy konkurenceschopnosti.</w:t>
      </w:r>
    </w:p>
    <w:p w:rsidR="00C81EC6" w:rsidRDefault="006732A5" w:rsidP="006732A5">
      <w:pPr>
        <w:pStyle w:val="Normlnweb"/>
        <w:spacing w:line="360" w:lineRule="auto"/>
        <w:jc w:val="both"/>
        <w:rPr>
          <w:rFonts w:ascii="Garamond" w:eastAsia="Calibri" w:hAnsi="Garamond"/>
          <w:szCs w:val="22"/>
          <w:lang w:eastAsia="en-US"/>
        </w:rPr>
      </w:pPr>
      <w:r>
        <w:rPr>
          <w:rFonts w:ascii="Garamond" w:eastAsia="Calibri" w:hAnsi="Garamond"/>
          <w:szCs w:val="22"/>
          <w:lang w:eastAsia="en-US"/>
        </w:rPr>
        <w:t>Horní část</w:t>
      </w:r>
      <w:r w:rsidRPr="00886871">
        <w:rPr>
          <w:rFonts w:ascii="Garamond" w:eastAsia="Calibri" w:hAnsi="Garamond"/>
          <w:szCs w:val="22"/>
          <w:lang w:eastAsia="en-US"/>
        </w:rPr>
        <w:t xml:space="preserve"> pyramidy- </w:t>
      </w:r>
      <w:r w:rsidRPr="00B901A0">
        <w:rPr>
          <w:rFonts w:ascii="Garamond" w:eastAsia="Calibri" w:hAnsi="Garamond"/>
          <w:b/>
          <w:szCs w:val="22"/>
          <w:lang w:eastAsia="en-US"/>
        </w:rPr>
        <w:t>inovace a sofistikovanost obchodu</w:t>
      </w:r>
      <w:r>
        <w:rPr>
          <w:rFonts w:ascii="Garamond" w:eastAsia="Calibri" w:hAnsi="Garamond"/>
          <w:szCs w:val="22"/>
          <w:lang w:eastAsia="en-US"/>
        </w:rPr>
        <w:t xml:space="preserve"> vychází ze základních předpokladů z dolní </w:t>
      </w:r>
      <w:r w:rsidR="002767FF">
        <w:rPr>
          <w:rFonts w:ascii="Garamond" w:eastAsia="Calibri" w:hAnsi="Garamond"/>
          <w:szCs w:val="22"/>
          <w:lang w:eastAsia="en-US"/>
        </w:rPr>
        <w:t xml:space="preserve">a střední </w:t>
      </w:r>
      <w:r>
        <w:rPr>
          <w:rFonts w:ascii="Garamond" w:eastAsia="Calibri" w:hAnsi="Garamond"/>
          <w:szCs w:val="22"/>
          <w:lang w:eastAsia="en-US"/>
        </w:rPr>
        <w:t xml:space="preserve">části pyramidy. </w:t>
      </w:r>
    </w:p>
    <w:p w:rsidR="00982F4E" w:rsidRPr="00B901A0" w:rsidRDefault="00982F4E" w:rsidP="006732A5">
      <w:pPr>
        <w:pStyle w:val="Normlnweb"/>
        <w:spacing w:line="360" w:lineRule="auto"/>
        <w:jc w:val="both"/>
        <w:rPr>
          <w:rFonts w:ascii="Garamond" w:eastAsia="Calibri" w:hAnsi="Garamond"/>
          <w:szCs w:val="22"/>
          <w:lang w:eastAsia="en-US"/>
        </w:rPr>
        <w:sectPr w:rsidR="00982F4E" w:rsidRPr="00B901A0" w:rsidSect="009F7487">
          <w:footerReference w:type="default" r:id="rId31"/>
          <w:pgSz w:w="11906" w:h="16838" w:code="9"/>
          <w:pgMar w:top="1418" w:right="1418" w:bottom="1134" w:left="1418" w:header="709" w:footer="709" w:gutter="0"/>
          <w:pgNumType w:start="1"/>
          <w:cols w:space="708"/>
          <w:titlePg/>
          <w:docGrid w:linePitch="360"/>
        </w:sectPr>
      </w:pPr>
    </w:p>
    <w:p w:rsidR="006732A5" w:rsidRDefault="006732A5" w:rsidP="006732A5">
      <w:pPr>
        <w:spacing w:line="360" w:lineRule="auto"/>
      </w:pPr>
    </w:p>
    <w:p w:rsidR="006732A5" w:rsidRPr="00EF05BB" w:rsidRDefault="006732A5" w:rsidP="006732A5">
      <w:pPr>
        <w:pStyle w:val="Nadpis2"/>
        <w:numPr>
          <w:ilvl w:val="1"/>
          <w:numId w:val="1"/>
        </w:numPr>
        <w:spacing w:line="360" w:lineRule="auto"/>
      </w:pPr>
      <w:bookmarkStart w:id="21" w:name="_Toc368040291"/>
      <w:r>
        <w:t>Přínos internetové ekonomiky pro konkurenceschopnost ČR</w:t>
      </w:r>
      <w:bookmarkEnd w:id="21"/>
    </w:p>
    <w:p w:rsidR="006732A5" w:rsidRDefault="006732A5" w:rsidP="006732A5">
      <w:pPr>
        <w:spacing w:before="0" w:after="0" w:line="360" w:lineRule="auto"/>
        <w:jc w:val="left"/>
      </w:pPr>
    </w:p>
    <w:p w:rsidR="006732A5" w:rsidRDefault="006732A5" w:rsidP="006732A5">
      <w:pPr>
        <w:spacing w:line="360" w:lineRule="auto"/>
        <w:rPr>
          <w:rFonts w:cs="Arial"/>
        </w:rPr>
      </w:pPr>
      <w:r>
        <w:t xml:space="preserve">Cenová i necenová konkurenceschopnost exportu jsou navzájem značně provázány a pro výslednou mezinárodní konkurenceschopnost velmi důležité. Je dobré, aby si země udržela svou cenovou konkurenceschopnost a tyto ukazatele neustále sledovala a svoji politiku tomu přizpůsobovala. Například růst mezd by neměl být rychlejší než produktivita práce. Dlouhodobě však nemůže být cílem konkurovat cenově prostřednictvím nízkých mezd, ale zvyšováním produktivity (jednotkové náklady práce by měly sloužit pouze jako kontrolní ukazatel, který hlídá, zda má růst mezd oporu v růstu produktivity práce a nedochází tak ke snižování konkurenceschopnosti). K docílení vyšší produktivity je však potřeba posunout strukturu české ekonomiky směrem k vyšší přidané hodnotě v rámci hodnotového řetězce globálního obchodu. Další ekonomický růst a konkurenceschopnost exportu tak bude zřejmě záviset </w:t>
      </w:r>
      <w:r w:rsidRPr="0068255C">
        <w:rPr>
          <w:rFonts w:cs="Arial"/>
        </w:rPr>
        <w:t>na schopnosti přeorientovat se na výrobu zboží a služeb s vyšší přidanou hodnotou a tím se posunout na vyšší stupeň globálních hodnotových řetězců.</w:t>
      </w:r>
      <w:r>
        <w:rPr>
          <w:rFonts w:cs="Arial"/>
        </w:rPr>
        <w:t xml:space="preserve"> Následující obrázek zobrazuje současnou pozici České republiky v rámci hodnotového řetězce. </w:t>
      </w:r>
    </w:p>
    <w:p w:rsidR="006732A5" w:rsidRDefault="006732A5" w:rsidP="006732A5">
      <w:pPr>
        <w:spacing w:line="360" w:lineRule="auto"/>
        <w:rPr>
          <w:rFonts w:cs="Arial"/>
        </w:rPr>
      </w:pPr>
    </w:p>
    <w:p w:rsidR="006732A5" w:rsidRPr="002C6FE5" w:rsidRDefault="006732A5" w:rsidP="006732A5">
      <w:pPr>
        <w:pStyle w:val="Titulek"/>
        <w:spacing w:line="360" w:lineRule="auto"/>
        <w:rPr>
          <w:rFonts w:ascii="Calibri" w:hAnsi="Calibri"/>
          <w:b/>
          <w:bCs w:val="0"/>
          <w:i w:val="0"/>
          <w:sz w:val="22"/>
          <w:szCs w:val="22"/>
          <w:lang w:eastAsia="cs-CZ"/>
        </w:rPr>
      </w:pPr>
      <w:r>
        <w:t xml:space="preserve">Obrázek </w:t>
      </w:r>
      <w:fldSimple w:instr=" SEQ Obrázek \* ARABIC ">
        <w:r w:rsidR="00A828CC">
          <w:rPr>
            <w:noProof/>
          </w:rPr>
          <w:t>7</w:t>
        </w:r>
      </w:fldSimple>
      <w:r>
        <w:t xml:space="preserve">: </w:t>
      </w:r>
      <w:r w:rsidRPr="002C6FE5">
        <w:rPr>
          <w:rFonts w:ascii="Calibri" w:hAnsi="Calibri"/>
          <w:bCs w:val="0"/>
          <w:i w:val="0"/>
          <w:sz w:val="22"/>
          <w:szCs w:val="22"/>
          <w:lang w:eastAsia="cs-CZ"/>
        </w:rPr>
        <w:t>Pozice ČR v rámci hodnotového řetězce globálního obchodu</w:t>
      </w:r>
    </w:p>
    <w:p w:rsidR="006732A5" w:rsidRDefault="006732A5" w:rsidP="006732A5">
      <w:pPr>
        <w:pStyle w:val="Zpat"/>
        <w:keepNext/>
        <w:keepLines/>
        <w:spacing w:line="360" w:lineRule="auto"/>
      </w:pPr>
      <w:r>
        <w:rPr>
          <w:noProof/>
        </w:rPr>
        <w:drawing>
          <wp:inline distT="0" distB="0" distL="0" distR="0">
            <wp:extent cx="5939790" cy="2545715"/>
            <wp:effectExtent l="19050" t="0" r="381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32" cstate="print"/>
                    <a:srcRect/>
                    <a:stretch>
                      <a:fillRect/>
                    </a:stretch>
                  </pic:blipFill>
                  <pic:spPr bwMode="auto">
                    <a:xfrm>
                      <a:off x="0" y="0"/>
                      <a:ext cx="5939790" cy="2545715"/>
                    </a:xfrm>
                    <a:prstGeom prst="rect">
                      <a:avLst/>
                    </a:prstGeom>
                    <a:noFill/>
                    <a:ln w="9525">
                      <a:noFill/>
                      <a:miter lim="800000"/>
                      <a:headEnd/>
                      <a:tailEnd/>
                    </a:ln>
                  </pic:spPr>
                </pic:pic>
              </a:graphicData>
            </a:graphic>
          </wp:inline>
        </w:drawing>
      </w:r>
    </w:p>
    <w:p w:rsidR="006732A5" w:rsidRPr="0068255C" w:rsidRDefault="006732A5" w:rsidP="006732A5">
      <w:r>
        <w:t>Zdroj: EEIP</w:t>
      </w:r>
    </w:p>
    <w:p w:rsidR="006732A5" w:rsidRDefault="006732A5" w:rsidP="006732A5">
      <w:pPr>
        <w:spacing w:before="0" w:after="0" w:line="360" w:lineRule="auto"/>
        <w:jc w:val="left"/>
      </w:pPr>
    </w:p>
    <w:p w:rsidR="006732A5" w:rsidRDefault="006732A5" w:rsidP="006732A5">
      <w:pPr>
        <w:spacing w:before="0" w:after="0" w:line="360" w:lineRule="auto"/>
        <w:jc w:val="left"/>
      </w:pPr>
    </w:p>
    <w:p w:rsidR="006732A5" w:rsidRDefault="006732A5" w:rsidP="006732A5">
      <w:pPr>
        <w:spacing w:before="0" w:after="0" w:line="360" w:lineRule="auto"/>
        <w:jc w:val="left"/>
      </w:pPr>
    </w:p>
    <w:p w:rsidR="006732A5" w:rsidRDefault="006732A5" w:rsidP="006732A5">
      <w:pPr>
        <w:spacing w:before="0" w:after="0" w:line="360" w:lineRule="auto"/>
      </w:pPr>
      <w:r>
        <w:lastRenderedPageBreak/>
        <w:t>V ČR stále převládá zpracování primárních surovin na meziprodukty (např. dřevozpracující průmysl, hutnictví), výroba jednoduchých součástek a polotovarů (plechárny, subdodávky v automobilovém průmyslu- i když zde se již daří částečně přesouvat k výrobě složitějších součástek a polotovarů) a montáž finálního výrobku ze součástek a polotovarů (montovny strojírenských výrobků, automobilový průmysl, ale i výroba počítačů, telefonů a další elektroniky).</w:t>
      </w:r>
    </w:p>
    <w:p w:rsidR="006732A5" w:rsidRDefault="006732A5" w:rsidP="006732A5">
      <w:pPr>
        <w:spacing w:before="0" w:after="0" w:line="360" w:lineRule="auto"/>
      </w:pPr>
    </w:p>
    <w:p w:rsidR="006732A5" w:rsidRDefault="006732A5" w:rsidP="006732A5">
      <w:pPr>
        <w:spacing w:before="0" w:after="0" w:line="360" w:lineRule="auto"/>
      </w:pPr>
      <w:r>
        <w:t xml:space="preserve">Z těchto důvodů může být další rozvoj internetové ekonomiky v ČR velkým přínosem, protože internetová ekonomika je zaprvé odvětvím, kde se tvoří vysoká přidaná hodnota (v průměru) a zadruhé má průřezově napříč ekonomikou pozitivní dopad na produktivitu práce a tím pádem i na konkurenceschopnost ČR. </w:t>
      </w:r>
    </w:p>
    <w:p w:rsidR="006732A5" w:rsidRDefault="006732A5" w:rsidP="006732A5">
      <w:pPr>
        <w:spacing w:before="0" w:after="0" w:line="360" w:lineRule="auto"/>
      </w:pPr>
      <w:r>
        <w:t>Následující graf ukazuje na vývoj produktivity práce v ICT sektoru v porovnání s průměrnou produktivitou práce všech odvětví v ČR</w:t>
      </w:r>
      <w:r>
        <w:rPr>
          <w:rStyle w:val="Znakapoznpodarou"/>
        </w:rPr>
        <w:footnoteReference w:id="25"/>
      </w:r>
      <w:r>
        <w:t xml:space="preserve">. </w:t>
      </w:r>
    </w:p>
    <w:p w:rsidR="006732A5" w:rsidRDefault="006732A5" w:rsidP="006732A5">
      <w:pPr>
        <w:spacing w:before="0" w:after="0" w:line="360" w:lineRule="auto"/>
        <w:jc w:val="left"/>
      </w:pPr>
    </w:p>
    <w:p w:rsidR="006732A5" w:rsidRDefault="006732A5" w:rsidP="006732A5">
      <w:pPr>
        <w:pStyle w:val="Titulek"/>
      </w:pPr>
      <w:bookmarkStart w:id="22" w:name="_Ref366158619"/>
      <w:r>
        <w:t xml:space="preserve">Graf </w:t>
      </w:r>
      <w:fldSimple w:instr=" SEQ Graf \* ARABIC ">
        <w:r w:rsidR="00A828CC">
          <w:rPr>
            <w:noProof/>
          </w:rPr>
          <w:t>16</w:t>
        </w:r>
      </w:fldSimple>
      <w:bookmarkEnd w:id="22"/>
      <w:r>
        <w:t>: Vývoj produktivity práce v ČR a v ICT sektoru (v tis. Kč za rok)</w:t>
      </w:r>
    </w:p>
    <w:p w:rsidR="006732A5" w:rsidRDefault="006732A5" w:rsidP="006732A5">
      <w:pPr>
        <w:pStyle w:val="Titulek"/>
      </w:pPr>
      <w:r w:rsidRPr="003E14F2">
        <w:rPr>
          <w:noProof/>
          <w:lang w:eastAsia="cs-CZ"/>
        </w:rPr>
        <w:drawing>
          <wp:inline distT="0" distB="0" distL="0" distR="0">
            <wp:extent cx="4591050" cy="2762250"/>
            <wp:effectExtent l="19050" t="0" r="0" b="0"/>
            <wp:docPr id="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4591050" cy="2762250"/>
                    </a:xfrm>
                    <a:prstGeom prst="rect">
                      <a:avLst/>
                    </a:prstGeom>
                    <a:noFill/>
                    <a:ln w="9525">
                      <a:noFill/>
                      <a:miter lim="800000"/>
                      <a:headEnd/>
                      <a:tailEnd/>
                    </a:ln>
                  </pic:spPr>
                </pic:pic>
              </a:graphicData>
            </a:graphic>
          </wp:inline>
        </w:drawing>
      </w:r>
    </w:p>
    <w:p w:rsidR="006732A5" w:rsidRDefault="006732A5" w:rsidP="006732A5">
      <w:r>
        <w:t>Zdroj: EEIP; ČSÚ</w:t>
      </w:r>
    </w:p>
    <w:p w:rsidR="00982F4E" w:rsidRDefault="00982F4E" w:rsidP="006732A5">
      <w:pPr>
        <w:spacing w:line="360" w:lineRule="auto"/>
      </w:pPr>
    </w:p>
    <w:p w:rsidR="006732A5" w:rsidRDefault="006732A5" w:rsidP="006732A5">
      <w:pPr>
        <w:spacing w:line="360" w:lineRule="auto"/>
      </w:pPr>
      <w:r>
        <w:t xml:space="preserve">Z grafu je vidět, že produktivita práce v ICT sektoru je výrazně vyšší, než je průměr ČR. V roce 2011 byla produktivita práce v ICT sektoru 1,3 mil. Kč za rok, zatímco průměr ČR byl pouhých 707 000, tedy téměř dvakrát méně. Nejproduktivnější v rámci ICT sektoru jsou ICT služby, kde v roce 2011 dosáhla produktivita práce 1,65 mil. Kč na zaměstnance za rok. Naopak ne vše </w:t>
      </w:r>
      <w:r>
        <w:lastRenderedPageBreak/>
        <w:t>v rámci ICT sektoru má vysokou produktivitu práce. Příkladem ještě nižší produktivity, než je průměr ČR, je výroba ICT, což často obnáší výše zmiňované montovny.</w:t>
      </w:r>
    </w:p>
    <w:p w:rsidR="006732A5" w:rsidRDefault="006732A5" w:rsidP="006732A5">
      <w:pPr>
        <w:spacing w:line="360" w:lineRule="auto"/>
      </w:pPr>
      <w:r>
        <w:t>Vlastní vysoká produktivita práce internetové ekonomiky a její průřezové pozitivní dopady pro ostatní odvětví nasvědčují tomu, že rozvoj internetové ekonomiky je tou správnou cestou ke zlepšení konkurenceschopnosti České republiky.</w:t>
      </w:r>
      <w:r>
        <w:br w:type="page"/>
      </w:r>
    </w:p>
    <w:p w:rsidR="006732A5" w:rsidRDefault="006732A5" w:rsidP="006732A5">
      <w:pPr>
        <w:pStyle w:val="Nadpis1"/>
        <w:numPr>
          <w:ilvl w:val="0"/>
          <w:numId w:val="1"/>
        </w:numPr>
      </w:pPr>
      <w:bookmarkStart w:id="23" w:name="_Toc368040292"/>
      <w:r>
        <w:lastRenderedPageBreak/>
        <w:t>Trendy v internetové ekonomice</w:t>
      </w:r>
      <w:bookmarkEnd w:id="23"/>
    </w:p>
    <w:p w:rsidR="00982F4E" w:rsidRDefault="00982F4E" w:rsidP="006732A5">
      <w:pPr>
        <w:spacing w:line="360" w:lineRule="auto"/>
      </w:pPr>
    </w:p>
    <w:p w:rsidR="006732A5" w:rsidRDefault="006732A5" w:rsidP="006732A5">
      <w:pPr>
        <w:spacing w:line="360" w:lineRule="auto"/>
      </w:pPr>
      <w:r>
        <w:t>Internetová ekonomika je dynamické odvětví, které se neustále mění a posouvá kupředu (ať už co se týče technologických novinek, změn v obchodním modelu firem nebo intenzity využívání funkcionalit, které internet nabízí). V prorůstové strategii takto dynamického odvětví je proto potřeba trendy v internetové ekonomice včas podchytit. Zde uvádíme některé trendy v internetové ekonomice, které vyplynuly z konzultací a z literatury.</w:t>
      </w:r>
    </w:p>
    <w:p w:rsidR="006732A5" w:rsidRDefault="006732A5" w:rsidP="006732A5">
      <w:pPr>
        <w:pStyle w:val="Nadpis2"/>
        <w:numPr>
          <w:ilvl w:val="1"/>
          <w:numId w:val="1"/>
        </w:numPr>
      </w:pPr>
      <w:bookmarkStart w:id="24" w:name="_Toc368040293"/>
      <w:r>
        <w:t>Cloud computing</w:t>
      </w:r>
      <w:bookmarkEnd w:id="24"/>
    </w:p>
    <w:p w:rsidR="00982F4E" w:rsidRDefault="00982F4E" w:rsidP="006732A5">
      <w:pPr>
        <w:spacing w:line="360" w:lineRule="auto"/>
      </w:pPr>
    </w:p>
    <w:p w:rsidR="006732A5" w:rsidRDefault="006732A5" w:rsidP="006732A5">
      <w:pPr>
        <w:spacing w:line="360" w:lineRule="auto"/>
      </w:pPr>
      <w:r>
        <w:t xml:space="preserve">I když se v případě cloud computingu nejedná o technologickou novinku, rostoucí intenzita jeho využívání má významný dopad na podnikání firem. Cloud computing umožňuje především nový model dodávek </w:t>
      </w:r>
      <w:r w:rsidR="00B767F6">
        <w:t>ICT služeb pro firmy. Služby typ</w:t>
      </w:r>
      <w:r>
        <w:t xml:space="preserve">u Software jako služba (SaaS), Platforma jako služba (PaaS), Infrastruktura jako služba (IaaS) či Hardware jako služba (HaaS) umožňují přechod firem ze správy vlastního informačního systému nebo komplexního outsourcingu provozu informačních služeb na nový systém. Přechod na cloud computing má velký význam především z pohledu firemního cash flow, kdy klesá podíl kapitálových investic do hardware a naopak roste význam provozních výdajů. Na rozdíl od operativního leasingu, který také umožňuje rozložit platby v čase, služby typu SaaS zajišťují také efektivnější využití kapacit hardware a větší flexibilitu. </w:t>
      </w:r>
    </w:p>
    <w:p w:rsidR="006732A5" w:rsidRDefault="006732A5" w:rsidP="006732A5">
      <w:pPr>
        <w:spacing w:line="360" w:lineRule="auto"/>
      </w:pPr>
      <w:r>
        <w:t>Očekává se, že význam cloud computingu bude nadále růst a zvláště s vývojem dalších trendů jako je internet věcí</w:t>
      </w:r>
      <w:r w:rsidR="00C540C8">
        <w:rPr>
          <w:rStyle w:val="Znakapoznpodarou"/>
        </w:rPr>
        <w:footnoteReference w:id="26"/>
      </w:r>
      <w:r>
        <w:t>, big data</w:t>
      </w:r>
      <w:r w:rsidR="00C540C8">
        <w:rPr>
          <w:rStyle w:val="Znakapoznpodarou"/>
        </w:rPr>
        <w:footnoteReference w:id="27"/>
      </w:r>
      <w:r>
        <w:t>, nástup videa přes internet apod. budou růst nároky na kapacitu a bezpečnost cloudů, které budou hrát pravděpodobně stále významnější roli.</w:t>
      </w:r>
    </w:p>
    <w:p w:rsidR="006732A5" w:rsidRDefault="006732A5" w:rsidP="006732A5">
      <w:pPr>
        <w:spacing w:line="360" w:lineRule="auto"/>
      </w:pPr>
      <w:r>
        <w:t>Průzkum společnosti Ipsos MORI z února a března 2013 pro společnost Microsoft ukázal, že české malé a střední podniky do 25 zaměstnanců využívají cloud computing relativně více než průměr EU. Následující graf ukazuje srovnání s vybranými evropskými státy.</w:t>
      </w:r>
    </w:p>
    <w:p w:rsidR="006732A5" w:rsidRDefault="006732A5" w:rsidP="006732A5">
      <w:pPr>
        <w:spacing w:line="360" w:lineRule="auto"/>
      </w:pPr>
    </w:p>
    <w:p w:rsidR="00982F4E" w:rsidRDefault="00982F4E" w:rsidP="006732A5">
      <w:pPr>
        <w:spacing w:line="360" w:lineRule="auto"/>
      </w:pPr>
    </w:p>
    <w:p w:rsidR="00982F4E" w:rsidRDefault="00982F4E" w:rsidP="006732A5">
      <w:pPr>
        <w:spacing w:line="360" w:lineRule="auto"/>
      </w:pPr>
    </w:p>
    <w:p w:rsidR="00982F4E" w:rsidRDefault="00982F4E" w:rsidP="006732A5">
      <w:pPr>
        <w:spacing w:line="360" w:lineRule="auto"/>
      </w:pPr>
    </w:p>
    <w:p w:rsidR="006732A5" w:rsidRDefault="006732A5" w:rsidP="006732A5">
      <w:pPr>
        <w:pStyle w:val="Titulek"/>
      </w:pPr>
      <w:r>
        <w:lastRenderedPageBreak/>
        <w:t xml:space="preserve">Graf </w:t>
      </w:r>
      <w:fldSimple w:instr=" SEQ Graf \* ARABIC ">
        <w:r w:rsidR="00A828CC">
          <w:rPr>
            <w:noProof/>
          </w:rPr>
          <w:t>17</w:t>
        </w:r>
      </w:fldSimple>
      <w:r>
        <w:t>: Srovnání využití cloud computingu malými a středními podniky v Evropě a v ČR (v %)</w:t>
      </w:r>
    </w:p>
    <w:p w:rsidR="006732A5" w:rsidRDefault="006732A5" w:rsidP="006732A5">
      <w:r w:rsidRPr="00B021B0">
        <w:rPr>
          <w:noProof/>
          <w:lang w:eastAsia="cs-CZ"/>
        </w:rPr>
        <w:drawing>
          <wp:inline distT="0" distB="0" distL="0" distR="0">
            <wp:extent cx="4514850" cy="2686050"/>
            <wp:effectExtent l="19050" t="0" r="19050" b="0"/>
            <wp:docPr id="8"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732A5" w:rsidRDefault="006732A5" w:rsidP="006732A5">
      <w:r>
        <w:t>Zdroj: Ipsos MORI (2013)</w:t>
      </w:r>
    </w:p>
    <w:p w:rsidR="006732A5" w:rsidRDefault="006732A5" w:rsidP="006732A5"/>
    <w:p w:rsidR="006732A5" w:rsidRDefault="006732A5" w:rsidP="006732A5">
      <w:pPr>
        <w:spacing w:line="360" w:lineRule="auto"/>
      </w:pPr>
      <w:r>
        <w:t>Z grafu je vidět, že v ČR využívají malé a střední podniky</w:t>
      </w:r>
      <w:r w:rsidR="00B767F6">
        <w:t xml:space="preserve"> (SME</w:t>
      </w:r>
      <w:r>
        <w:t xml:space="preserve">) služby cloud computingu výrazně více než v Západní Evropě. Více než v ČR jsou cloudové služby využívány v rámci Evropy jen na Ukrajině (85 %). </w:t>
      </w:r>
      <w:r w:rsidR="00C540C8">
        <w:t>Přestože bývá bezpečnost cloud computingu často označována jako hlavní nevýhoda, d</w:t>
      </w:r>
      <w:r>
        <w:t>le průzkumu se české společnosti zajímají o cloud i kvůli jeho bezpečnosti.  Tu na cloudu oceňuje 85 % če</w:t>
      </w:r>
      <w:r w:rsidR="00B767F6">
        <w:t>ských SME. 71 % SME</w:t>
      </w:r>
      <w:r w:rsidR="00C81EC6">
        <w:t xml:space="preserve"> vi</w:t>
      </w:r>
      <w:r>
        <w:t>dí v cloudu nástroj k zajištění kontinuity práce v případě nehody či přírodní katastrofy. Následující graf ukazuje jaké služby české MSP v rámci cloudu využívají.</w:t>
      </w:r>
    </w:p>
    <w:p w:rsidR="006732A5" w:rsidRDefault="006732A5" w:rsidP="006732A5">
      <w:pPr>
        <w:spacing w:line="360" w:lineRule="auto"/>
      </w:pPr>
    </w:p>
    <w:p w:rsidR="006732A5" w:rsidRDefault="006732A5" w:rsidP="006732A5">
      <w:pPr>
        <w:pStyle w:val="Titulek"/>
      </w:pPr>
      <w:r>
        <w:t xml:space="preserve">Graf </w:t>
      </w:r>
      <w:fldSimple w:instr=" SEQ Graf \* ARABIC ">
        <w:r w:rsidR="00A828CC">
          <w:rPr>
            <w:noProof/>
          </w:rPr>
          <w:t>18</w:t>
        </w:r>
      </w:fldSimple>
      <w:r>
        <w:t>: Využití cloud computingu u českých malých a středních podniků (v %)</w:t>
      </w:r>
    </w:p>
    <w:p w:rsidR="006732A5" w:rsidRDefault="006732A5" w:rsidP="006732A5">
      <w:r w:rsidRPr="005C2100">
        <w:rPr>
          <w:noProof/>
          <w:lang w:eastAsia="cs-CZ"/>
        </w:rPr>
        <w:drawing>
          <wp:inline distT="0" distB="0" distL="0" distR="0">
            <wp:extent cx="4276725" cy="2400300"/>
            <wp:effectExtent l="19050" t="0" r="9525" b="0"/>
            <wp:docPr id="14"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732A5" w:rsidRDefault="006732A5" w:rsidP="006732A5">
      <w:r>
        <w:t>Zdroj: Ipsos MORI (2013)</w:t>
      </w:r>
    </w:p>
    <w:p w:rsidR="006732A5" w:rsidRDefault="006732A5" w:rsidP="006732A5"/>
    <w:p w:rsidR="006732A5" w:rsidRDefault="006732A5" w:rsidP="006732A5">
      <w:pPr>
        <w:spacing w:line="360" w:lineRule="auto"/>
      </w:pPr>
      <w:r>
        <w:lastRenderedPageBreak/>
        <w:t xml:space="preserve">Z grafu je vidět, že podle průzkumu </w:t>
      </w:r>
      <w:r w:rsidRPr="00B959FC">
        <w:t>České firmy využívají v cloudu hlavně e-mail (71 %), zálohování dat (38 %), elektronickou výměnu dokumentů (29 %) a Voice over IP služby jako například Skype (29 %).</w:t>
      </w:r>
    </w:p>
    <w:p w:rsidR="006732A5" w:rsidRDefault="006732A5" w:rsidP="006732A5">
      <w:pPr>
        <w:pStyle w:val="Nadpis2"/>
        <w:numPr>
          <w:ilvl w:val="1"/>
          <w:numId w:val="1"/>
        </w:numPr>
      </w:pPr>
      <w:bookmarkStart w:id="25" w:name="_Toc368040294"/>
      <w:r>
        <w:t>Internet věcí</w:t>
      </w:r>
      <w:bookmarkEnd w:id="25"/>
    </w:p>
    <w:p w:rsidR="00982F4E" w:rsidRDefault="00982F4E" w:rsidP="006732A5">
      <w:pPr>
        <w:spacing w:line="360" w:lineRule="auto"/>
      </w:pPr>
    </w:p>
    <w:p w:rsidR="006732A5" w:rsidRDefault="006732A5" w:rsidP="006732A5">
      <w:pPr>
        <w:spacing w:line="360" w:lineRule="auto"/>
      </w:pPr>
      <w:r>
        <w:t>Subjekty, které byly v rámci vypracování této studie konzultovány, se vesměs shodují, že jedním z nejdůležitějších trendů v internetové ekonomice je tzv. internet věcí. Jelikož se počítače stávají součástí velkého počtu elektronických zařízení, ve stále větší míře bude možné tyto věci připojit do sítě, kde mezi nimi prostřednictvím cloudu může probíhat komunikace, což těmto zařízením umožní nové funkcionality. Jedná se tedy zejména o propojení věcí a jejich spolupráci prostřednictvím internetu. Očekávaný rozmach v tomto segmentu bude impliko</w:t>
      </w:r>
      <w:r w:rsidR="00C81EC6">
        <w:t>vat také velký nárůst dat, která</w:t>
      </w:r>
      <w:r>
        <w:t xml:space="preserve"> bude možné jen obtížně běžnými metodami zpracovávat a analyzovat. S tím souvisí i další trend v internetové ekonomice- big data.</w:t>
      </w:r>
    </w:p>
    <w:p w:rsidR="006732A5" w:rsidRDefault="006732A5" w:rsidP="006732A5">
      <w:pPr>
        <w:pStyle w:val="Nadpis2"/>
        <w:numPr>
          <w:ilvl w:val="1"/>
          <w:numId w:val="1"/>
        </w:numPr>
      </w:pPr>
      <w:bookmarkStart w:id="26" w:name="_Toc368040295"/>
      <w:r>
        <w:t>Big data</w:t>
      </w:r>
      <w:bookmarkEnd w:id="26"/>
    </w:p>
    <w:p w:rsidR="00982F4E" w:rsidRDefault="00982F4E" w:rsidP="006732A5">
      <w:pPr>
        <w:spacing w:line="360" w:lineRule="auto"/>
      </w:pPr>
    </w:p>
    <w:p w:rsidR="006732A5" w:rsidRDefault="006732A5" w:rsidP="006732A5">
      <w:pPr>
        <w:spacing w:line="360" w:lineRule="auto"/>
      </w:pPr>
      <w:r>
        <w:t>Dalším v konzultacíc</w:t>
      </w:r>
      <w:r w:rsidR="00BA23AF">
        <w:t>h zmiňovaným trendem jsou tzv. b</w:t>
      </w:r>
      <w:r>
        <w:t xml:space="preserve">ig data (velká data). Jedná se </w:t>
      </w:r>
      <w:r w:rsidR="00C942A5">
        <w:t xml:space="preserve">o </w:t>
      </w:r>
      <w:r>
        <w:t>sbírání obrovských datových souborů, které je obtížné zpracovávat běžnými aplikacemi pro zpracování dat. Obrovský nárůst dat, se kterými mohou firmy pracovat</w:t>
      </w:r>
      <w:r w:rsidR="00C942A5">
        <w:t>,</w:t>
      </w:r>
      <w:r>
        <w:t xml:space="preserve"> již není pouze problémem IT. Velká data jsou mocným nástrojem k volbě optimální obchodní a marketingové strategie. Při správném zpracování a vyhodnocení velkých dat je například možné pochopit chování zákazníků v určitém segmentu</w:t>
      </w:r>
      <w:r w:rsidR="003B4EB8">
        <w:t xml:space="preserve"> (data mining)</w:t>
      </w:r>
      <w:r>
        <w:t>. Je možné například lépe odhadnout elasticitu poptávky a podle toho nastavit cenovou strategii, je možné lépe cílit inovace produktu podle preferencí zákazníků</w:t>
      </w:r>
      <w:r w:rsidR="003B4EB8">
        <w:t xml:space="preserve"> (obchodní a cenové modely)</w:t>
      </w:r>
      <w:r>
        <w:t>. Dále je možné lépe cílit marketing na různé skupiny zákazníků, zefektivnit zásobování a mnoho dalších věcí, které představují cennou konkurenční výhodu při f</w:t>
      </w:r>
      <w:r w:rsidR="00BA23AF">
        <w:t xml:space="preserve">iremním soupeření o zákazníky. </w:t>
      </w:r>
      <w:r w:rsidR="003B4EB8">
        <w:t>B</w:t>
      </w:r>
      <w:r>
        <w:t>ig data jsou cenné firemní aktivum, které umožňuje efektivnější vynakládání zdrojů a představuje tak konkurenční výhodu</w:t>
      </w:r>
      <w:r w:rsidR="003B4EB8">
        <w:t xml:space="preserve"> (v případě, že je firma umí správně zpracovávat a vyhodnocovat)</w:t>
      </w:r>
      <w:r>
        <w:t xml:space="preserve">. </w:t>
      </w:r>
    </w:p>
    <w:p w:rsidR="006732A5" w:rsidRDefault="006732A5" w:rsidP="006732A5">
      <w:pPr>
        <w:spacing w:line="360" w:lineRule="auto"/>
      </w:pPr>
      <w:r>
        <w:t xml:space="preserve">Studie Brynjolfsson et al. (2011) ukázala, že firmy, které se rozhodují na základě analýzy dat („data driven decision making“, dále DDD) mají lepší </w:t>
      </w:r>
      <w:r w:rsidR="00C942A5">
        <w:t>výkonnost</w:t>
      </w:r>
      <w:r>
        <w:t>, než firmy, které tak nečiní. Autoři studie na vzorku 179 velkých veřejně obchodovaných firem ukázali, že firmy, které se rozhodují na základě DDD</w:t>
      </w:r>
      <w:r w:rsidR="003B4EB8">
        <w:t>,</w:t>
      </w:r>
      <w:r>
        <w:t xml:space="preserve"> mají o 5-6 % vyšší produktivitu </w:t>
      </w:r>
      <w:r w:rsidR="003B4EB8">
        <w:t xml:space="preserve">práce </w:t>
      </w:r>
      <w:r>
        <w:t xml:space="preserve">a výstupy, </w:t>
      </w:r>
      <w:r w:rsidR="003B4EB8">
        <w:t xml:space="preserve">než by se očekávalo na základě dalších proměnných typu investic a využití IT. </w:t>
      </w:r>
      <w:r>
        <w:t xml:space="preserve">Tyto firmy mají lepší také další </w:t>
      </w:r>
      <w:r>
        <w:lastRenderedPageBreak/>
        <w:t xml:space="preserve">výkonové ukazatele (návratnost vlastního kapitálu, tržní hodnota). </w:t>
      </w:r>
      <w:r w:rsidR="003B4EB8">
        <w:t>Autoři studie ukázali, že má DDD skutečně pozitivní vliv na výkonové ukazatele firem a že neplatí opačný vztah</w:t>
      </w:r>
      <w:r w:rsidR="003B4EB8">
        <w:rPr>
          <w:rStyle w:val="Znakapoznpodarou"/>
        </w:rPr>
        <w:footnoteReference w:id="28"/>
      </w:r>
      <w:r w:rsidR="003B4EB8">
        <w:t xml:space="preserve">. </w:t>
      </w:r>
      <w:r>
        <w:t>S exponenciálním nárůstem dat, která je možné vyhodnotit</w:t>
      </w:r>
      <w:r w:rsidR="00C942A5">
        <w:t>,</w:t>
      </w:r>
      <w:r>
        <w:t xml:space="preserve"> může být tato konkurenční výhoda ještě větší. </w:t>
      </w:r>
    </w:p>
    <w:p w:rsidR="006732A5" w:rsidRDefault="006732A5" w:rsidP="006732A5">
      <w:pPr>
        <w:spacing w:line="360" w:lineRule="auto"/>
      </w:pPr>
      <w:r>
        <w:t xml:space="preserve">Zároveň je však stále obtížnější data uspokojivě zpracovat a vyhodnotit. Roste potřeba kvalitních analytiků, kteří umí s velkým objemem dat pracovat. Zpráva Big Data od McKinsey (2011) odhaduje, že v USA převyšuje poptávka po takových specialistech nabídku o 50-60 %. V roce 2018 je navíc odhadováno, že bude v USA potřeba dalších 140 000 až 190 000 specialistů. Podobný trend lze očekávat i v ČR, což bude mít zásadní vliv na zaměstnanost v rámci množiny IT specialistů (viz. </w:t>
      </w:r>
      <w:proofErr w:type="gramStart"/>
      <w:r>
        <w:t>kapitola</w:t>
      </w:r>
      <w:proofErr w:type="gramEnd"/>
      <w:r>
        <w:t xml:space="preserve"> </w:t>
      </w:r>
      <w:r w:rsidR="00467841">
        <w:fldChar w:fldCharType="begin"/>
      </w:r>
      <w:r>
        <w:instrText xml:space="preserve"> REF _Ref366934031 \r \h </w:instrText>
      </w:r>
      <w:r w:rsidR="00467841">
        <w:fldChar w:fldCharType="separate"/>
      </w:r>
      <w:r w:rsidR="00A828CC">
        <w:t>4.2</w:t>
      </w:r>
      <w:r w:rsidR="00467841">
        <w:fldChar w:fldCharType="end"/>
      </w:r>
      <w:r>
        <w:t>).</w:t>
      </w:r>
    </w:p>
    <w:p w:rsidR="006732A5" w:rsidRDefault="0020048B" w:rsidP="00982F4E">
      <w:pPr>
        <w:spacing w:line="360" w:lineRule="auto"/>
      </w:pPr>
      <w:r>
        <w:t xml:space="preserve">Brzdou v rozvoji využívání velkých dat je ochrana osobních údajů (což potvrzují i konzultace). Nemožnost nakládání s osobními údaji například neumožňuje mobilním operátorům optimalizovat produktovou nabídku a cílený marketing s využitím osobních údajů. </w:t>
      </w:r>
    </w:p>
    <w:p w:rsidR="006732A5" w:rsidRDefault="006732A5" w:rsidP="006732A5">
      <w:pPr>
        <w:pStyle w:val="Nadpis2"/>
        <w:numPr>
          <w:ilvl w:val="1"/>
          <w:numId w:val="1"/>
        </w:numPr>
      </w:pPr>
      <w:bookmarkStart w:id="27" w:name="_Toc368040296"/>
      <w:r>
        <w:t>Nástup videa přes internet</w:t>
      </w:r>
      <w:bookmarkEnd w:id="27"/>
    </w:p>
    <w:p w:rsidR="006732A5" w:rsidRDefault="006732A5" w:rsidP="006732A5">
      <w:pPr>
        <w:spacing w:line="360" w:lineRule="auto"/>
      </w:pPr>
    </w:p>
    <w:p w:rsidR="006732A5" w:rsidRDefault="006732A5" w:rsidP="006732A5">
      <w:pPr>
        <w:spacing w:line="360" w:lineRule="auto"/>
      </w:pPr>
      <w:r>
        <w:t xml:space="preserve">Dalším ze zmiňovaných trendů je video přes internet. </w:t>
      </w:r>
      <w:r w:rsidR="00352BED">
        <w:t xml:space="preserve">Streaming je technologie kontinuálního přenosu audiovizuálního materiálu mezi uživatelem a zdrojem. Je-li přenos zprostředkován prostřednictvím internetu, jedná se o tzv. webcasting, který může probíhat v reálném čase nebo může dojít k přenosu kdykoliv na konkrétní poptávku (např. YouTube). </w:t>
      </w:r>
      <w:r>
        <w:t>Tento segment zaznamenává již dnes velký nárůst. V prvním čtvrtletním vydání Mobile Barometer comScore (Mobille Marketing Association) z června 2013 se ukazuje, že ve vybraných 5 státech EU</w:t>
      </w:r>
      <w:r>
        <w:rPr>
          <w:rStyle w:val="Znakapoznpodarou"/>
        </w:rPr>
        <w:footnoteReference w:id="29"/>
      </w:r>
      <w:r>
        <w:t xml:space="preserve"> sledovalo video nebo televizi </w:t>
      </w:r>
      <w:r w:rsidR="001A71B7">
        <w:t xml:space="preserve">na internetu </w:t>
      </w:r>
      <w:r>
        <w:t>(za poslední měsíc) 34,8 % uživatelů (52,8 mil. uživatelů) chytrých telefonů, což představuje 112 % nárůst oproti předchozímu roku. Z vybraných zemí nejvíce sledovalo TV nebo video pomocí chytrého telefonu Španělsko (40,2 %).</w:t>
      </w:r>
    </w:p>
    <w:p w:rsidR="004F7BFA" w:rsidRDefault="004F7BFA" w:rsidP="006732A5">
      <w:pPr>
        <w:spacing w:line="360" w:lineRule="auto"/>
      </w:pPr>
      <w:r>
        <w:t>Podle mměření NetMonitor v ČR v červenci</w:t>
      </w:r>
      <w:r w:rsidRPr="004F7BFA">
        <w:t xml:space="preserve"> 2013 </w:t>
      </w:r>
      <w:r>
        <w:t>sledovalo video na internetu 2,72</w:t>
      </w:r>
      <w:r w:rsidRPr="004F7BFA">
        <w:t xml:space="preserve"> mil. čes</w:t>
      </w:r>
      <w:r>
        <w:t>kých internetových uživatelů (41</w:t>
      </w:r>
      <w:r w:rsidRPr="004F7BFA">
        <w:t xml:space="preserve"> % české interneto</w:t>
      </w:r>
      <w:r>
        <w:t>vé populace), kteří přehráli 90</w:t>
      </w:r>
      <w:r w:rsidRPr="004F7BFA">
        <w:t xml:space="preserve"> mil. videí.</w:t>
      </w:r>
      <w:r>
        <w:t xml:space="preserve"> V měsíci květnu (který není ovlivněn letními prázdninami) </w:t>
      </w:r>
      <w:r w:rsidRPr="004F7BFA">
        <w:t>sledovalo video na internetu 2,9 mil. českých internetových uživatelů (44 % české internetové populace), kteří přehráli 110 mil. videí.</w:t>
      </w:r>
    </w:p>
    <w:p w:rsidR="006732A5" w:rsidRDefault="0093707C" w:rsidP="006732A5">
      <w:pPr>
        <w:spacing w:line="360" w:lineRule="auto"/>
      </w:pPr>
      <w:r>
        <w:t>Streamovaná</w:t>
      </w:r>
      <w:r w:rsidR="006732A5">
        <w:t xml:space="preserve"> videa přes internet však čeká ještě větší rozmach s rozvojem internetové infrastruktury, která umožní přenos většího množství dat, rychlejší přenos dat a větší penetraci </w:t>
      </w:r>
      <w:r w:rsidR="006732A5">
        <w:lastRenderedPageBreak/>
        <w:t>v odlehlejších částech republiky a s nástupem internetu věcí, který rozšíří portfolio zařízení, přes které bude mož</w:t>
      </w:r>
      <w:r>
        <w:t>né s využitím internetu</w:t>
      </w:r>
      <w:r w:rsidR="006732A5">
        <w:t xml:space="preserve"> video</w:t>
      </w:r>
      <w:r>
        <w:t xml:space="preserve"> sledovat</w:t>
      </w:r>
      <w:r w:rsidR="006732A5">
        <w:t>. Rozvoj videa přes internet bude mít velký význam i v oblasti marketingu, neboť na rozdíl od tradiční TV nabízí mnohem variabilnější možnosti pro využití reklamy.</w:t>
      </w:r>
    </w:p>
    <w:p w:rsidR="006732A5" w:rsidRPr="00645960" w:rsidRDefault="006732A5" w:rsidP="006732A5">
      <w:pPr>
        <w:pStyle w:val="Nadpis2"/>
        <w:numPr>
          <w:ilvl w:val="1"/>
          <w:numId w:val="1"/>
        </w:numPr>
      </w:pPr>
      <w:bookmarkStart w:id="28" w:name="_Toc368040297"/>
      <w:r>
        <w:t>Mobilita internetu</w:t>
      </w:r>
      <w:bookmarkEnd w:id="28"/>
    </w:p>
    <w:p w:rsidR="00982F4E" w:rsidRDefault="00982F4E" w:rsidP="006732A5">
      <w:pPr>
        <w:spacing w:line="360" w:lineRule="auto"/>
      </w:pPr>
    </w:p>
    <w:p w:rsidR="00F4490D" w:rsidRDefault="006732A5" w:rsidP="006732A5">
      <w:pPr>
        <w:spacing w:line="360" w:lineRule="auto"/>
      </w:pPr>
      <w:r>
        <w:t>Mobilita internetu je další trend, který již má a ve stále větší míře bude mít dopad na trh práce. Možnost připojit se k internetu odkudkoliv a z čehokoliv</w:t>
      </w:r>
      <w:r w:rsidR="00CD7206">
        <w:rPr>
          <w:rStyle w:val="Znakapoznpodarou"/>
        </w:rPr>
        <w:footnoteReference w:id="30"/>
      </w:r>
      <w:r>
        <w:t xml:space="preserve"> u povolání, kde je třeba k práci internet, ale není nutná fyzická přítomnost ve firemních prostorách</w:t>
      </w:r>
      <w:r w:rsidR="004220E5">
        <w:t>, odstraňuje dojezdnost jako</w:t>
      </w:r>
      <w:r>
        <w:t xml:space="preserve"> jednu z bariér trhu práce. S větší penetrací internetu, </w:t>
      </w:r>
      <w:r w:rsidR="0093707C">
        <w:t xml:space="preserve">3G </w:t>
      </w:r>
      <w:r>
        <w:t xml:space="preserve">sítě a obecně s rozvojem potřebné infrastruktury mimo velká města bude docházet ke stále častějšímu jevu práce z domova (v ICT i mimo ICT sektor). </w:t>
      </w:r>
    </w:p>
    <w:p w:rsidR="00662B3C" w:rsidRDefault="00F4490D" w:rsidP="006732A5">
      <w:pPr>
        <w:spacing w:line="360" w:lineRule="auto"/>
      </w:pPr>
      <w:r>
        <w:t>Mobilitu nezajišťuje pouze mobilní připojení, ale i snadnost připojení se na</w:t>
      </w:r>
      <w:r w:rsidR="00CE7979">
        <w:t xml:space="preserve"> internet</w:t>
      </w:r>
      <w:r>
        <w:t xml:space="preserve">. </w:t>
      </w:r>
      <w:r w:rsidR="00CD7206">
        <w:t>Mobilitu v užívání internetu umožňuje i příležitost připojit se k ploše počítače na dálku a využití cloudu.</w:t>
      </w:r>
      <w:r w:rsidR="00662B3C">
        <w:t xml:space="preserve"> Snadnost připojení se k internetu tedy umožňuje větší flexibilitu trhu práce pro lidi, kteří využívají k práci internet. </w:t>
      </w:r>
      <w:r w:rsidR="00467841">
        <w:fldChar w:fldCharType="begin"/>
      </w:r>
      <w:r w:rsidR="00662B3C">
        <w:instrText xml:space="preserve"> REF _Ref367953280 \h </w:instrText>
      </w:r>
      <w:r w:rsidR="00467841">
        <w:fldChar w:fldCharType="separate"/>
      </w:r>
      <w:r w:rsidR="00662B3C">
        <w:t xml:space="preserve">Graf </w:t>
      </w:r>
      <w:r w:rsidR="00662B3C">
        <w:rPr>
          <w:noProof/>
        </w:rPr>
        <w:t>42</w:t>
      </w:r>
      <w:r w:rsidR="00467841">
        <w:fldChar w:fldCharType="end"/>
      </w:r>
      <w:r w:rsidR="00662B3C">
        <w:t xml:space="preserve"> v datové části z přílohy ukazuje, že 34 % zaměstnanců využívalo v roce 2012 při práci počítač s přístupem k internetu. </w:t>
      </w:r>
      <w:r w:rsidR="00467841">
        <w:fldChar w:fldCharType="begin"/>
      </w:r>
      <w:r w:rsidR="00662B3C">
        <w:instrText xml:space="preserve"> REF _Ref367953390 \h </w:instrText>
      </w:r>
      <w:r w:rsidR="00467841">
        <w:fldChar w:fldCharType="separate"/>
      </w:r>
      <w:r w:rsidR="00662B3C">
        <w:t xml:space="preserve">Graf </w:t>
      </w:r>
      <w:r w:rsidR="00662B3C">
        <w:rPr>
          <w:noProof/>
        </w:rPr>
        <w:t>48</w:t>
      </w:r>
      <w:r w:rsidR="00467841">
        <w:fldChar w:fldCharType="end"/>
      </w:r>
      <w:r w:rsidR="00662B3C">
        <w:t xml:space="preserve"> ukazuje, že 66 % populace využívá internet alespoň jednou</w:t>
      </w:r>
      <w:r w:rsidR="00CE7979">
        <w:t xml:space="preserve"> týdně. S rostoucím</w:t>
      </w:r>
      <w:r w:rsidR="00662B3C">
        <w:t xml:space="preserve"> pokrytím </w:t>
      </w:r>
      <w:r w:rsidR="00CE7979">
        <w:t xml:space="preserve">a kvalitou internetového připojení </w:t>
      </w:r>
      <w:r w:rsidR="00662B3C">
        <w:t xml:space="preserve">bude využívání internetu nadále stoupat. </w:t>
      </w:r>
      <w:r w:rsidR="00467841">
        <w:fldChar w:fldCharType="begin"/>
      </w:r>
      <w:r w:rsidR="00662B3C">
        <w:instrText xml:space="preserve"> REF _Ref367953549 \h </w:instrText>
      </w:r>
      <w:r w:rsidR="00467841">
        <w:fldChar w:fldCharType="separate"/>
      </w:r>
      <w:r w:rsidR="00662B3C">
        <w:t xml:space="preserve">Graf </w:t>
      </w:r>
      <w:r w:rsidR="00662B3C">
        <w:rPr>
          <w:noProof/>
        </w:rPr>
        <w:t>56</w:t>
      </w:r>
      <w:r w:rsidR="00467841">
        <w:fldChar w:fldCharType="end"/>
      </w:r>
      <w:r w:rsidR="00662B3C">
        <w:t xml:space="preserve"> ukazuje, že v roce 2012 již 65 % domácností bylo pokryto internetem.</w:t>
      </w:r>
      <w:r w:rsidR="00CD7206">
        <w:t xml:space="preserve"> </w:t>
      </w:r>
    </w:p>
    <w:p w:rsidR="00662B3C" w:rsidRDefault="00F4490D" w:rsidP="006732A5">
      <w:pPr>
        <w:spacing w:line="360" w:lineRule="auto"/>
      </w:pPr>
      <w:r>
        <w:t>Mobilní připojení však umožňuje uživateli připojení k internetu při volném pohybu v rámci republiky (například při cestě vlakem) i mimo ni.</w:t>
      </w:r>
      <w:r w:rsidR="00993DB7">
        <w:t xml:space="preserve"> </w:t>
      </w:r>
      <w:r w:rsidR="00A3628E">
        <w:t>Starší technologie mobilního přenosu dat jako je GPRS</w:t>
      </w:r>
      <w:r w:rsidR="00A3628E">
        <w:rPr>
          <w:rStyle w:val="Znakapoznpodarou"/>
        </w:rPr>
        <w:footnoteReference w:id="31"/>
      </w:r>
      <w:r w:rsidR="00A3628E">
        <w:t xml:space="preserve"> pokrývají již více než 99 % území, nicméně novější 3G technologie, které umožňují vyšší rychlost připojení a nižší latenci, ještě tak dobré pokrytí nemají.</w:t>
      </w:r>
      <w:r w:rsidR="00723964">
        <w:t xml:space="preserve"> Dle údajů mobilních operátorů měly operátoři na začátku roku 2013 pokryto 3G sítí 78,5 % populace u Telefonica O2, 85 % u T-Mobile a 73 % u Vodafone. Tyto údaje však vzhledem k nerovnoměrné hustotě osídlení neodpovídají skutečnému pokrytí území, které je výrazně nižší. Článek Jiřího Peterky z konce </w:t>
      </w:r>
      <w:r w:rsidR="002F3502">
        <w:t>února 2013 (Lupa.cz</w:t>
      </w:r>
      <w:r w:rsidR="002F3502">
        <w:rPr>
          <w:rStyle w:val="Znakapoznpodarou"/>
        </w:rPr>
        <w:footnoteReference w:id="32"/>
      </w:r>
      <w:r w:rsidR="002F3502">
        <w:t>), který vychází ze zprávy o vývoji trhu elektronických komunikací (Český telekomunikační úřad, 2012) a je doplněný údaji od operátorů, uvádí, že v únoru 2013 pokrýval T-Mobile svou 3G sítí 48 % území, Telefonica O2 32 % území a Vodafone pouhých 26 % území.</w:t>
      </w:r>
    </w:p>
    <w:p w:rsidR="00662B3C" w:rsidRDefault="00662B3C" w:rsidP="006732A5">
      <w:pPr>
        <w:spacing w:line="360" w:lineRule="auto"/>
      </w:pPr>
    </w:p>
    <w:p w:rsidR="003B5882" w:rsidRDefault="003B5882" w:rsidP="003B5882">
      <w:pPr>
        <w:pStyle w:val="Nadpis2"/>
      </w:pPr>
      <w:bookmarkStart w:id="29" w:name="_Toc368040298"/>
      <w:r>
        <w:t>Augmented reality</w:t>
      </w:r>
      <w:bookmarkEnd w:id="29"/>
    </w:p>
    <w:p w:rsidR="00982F4E" w:rsidRDefault="00982F4E" w:rsidP="003B5882">
      <w:pPr>
        <w:spacing w:line="360" w:lineRule="auto"/>
      </w:pPr>
    </w:p>
    <w:p w:rsidR="00B21ED7" w:rsidRDefault="003B5882" w:rsidP="003B5882">
      <w:pPr>
        <w:spacing w:line="360" w:lineRule="auto"/>
      </w:pPr>
      <w:r>
        <w:t>Augmented reality (rozšířená realita) je označení pro reálný obraz světa, který je doplněný počítačem vytvořenými objekty. Jedná se například o detailně nasnímanou budovu s popisem jednotlivých objektů, rozměrů místností a objektů atd. (bývá často využíváno v informačním modelu budov</w:t>
      </w:r>
      <w:r w:rsidR="00B21ED7">
        <w:rPr>
          <w:rStyle w:val="Znakapoznpodarou"/>
        </w:rPr>
        <w:footnoteReference w:id="33"/>
      </w:r>
      <w:r>
        <w:t>)</w:t>
      </w:r>
      <w:r w:rsidR="00B21ED7">
        <w:t xml:space="preserve">. </w:t>
      </w:r>
      <w:r w:rsidR="00B902BD">
        <w:t xml:space="preserve">Jedná se o </w:t>
      </w:r>
      <w:r w:rsidR="000846E9">
        <w:t xml:space="preserve">relativně </w:t>
      </w:r>
      <w:r w:rsidR="00B902BD">
        <w:t xml:space="preserve">novou dynamicky se rozvíjející technologii, a proto lze očekávat, že bude vznikat stále více aplikací. S rozvojem internetu věcí se navíc bude rozšiřovat množství elektronických zařízení, na kterých bude možné nejen vytvářet rozšířenou realitu, ale také ji následně sdílet či ji vytvářet on-line ve více lidech. </w:t>
      </w:r>
      <w:r w:rsidR="005614C3">
        <w:t>Aplikace rozšířené reality navíc mohou být (např. pro mobilní operátory) zajímavým zdrojem dat, z kterých je za použití technik pro zpracování velkých dat (viz. big data) možné vypozorovat preference uživatelů.</w:t>
      </w:r>
    </w:p>
    <w:p w:rsidR="00B902BD" w:rsidRDefault="00B902BD" w:rsidP="00B902BD">
      <w:pPr>
        <w:pStyle w:val="Nadpis2"/>
      </w:pPr>
      <w:bookmarkStart w:id="30" w:name="_Toc368040299"/>
      <w:r>
        <w:t>Gamification</w:t>
      </w:r>
      <w:bookmarkEnd w:id="30"/>
    </w:p>
    <w:p w:rsidR="00982F4E" w:rsidRDefault="00982F4E" w:rsidP="00913CC5">
      <w:pPr>
        <w:spacing w:line="360" w:lineRule="auto"/>
      </w:pPr>
    </w:p>
    <w:p w:rsidR="00D32CDA" w:rsidRDefault="00913CC5" w:rsidP="00913CC5">
      <w:pPr>
        <w:spacing w:line="360" w:lineRule="auto"/>
      </w:pPr>
      <w:r>
        <w:t>Dalším s trendů v internetové ekonomice je tzv. gamification (gamifikace), což je uplatňování herního myšlení a herních principů při řešení problémů v neherním prostředí jako jsou webové stránky či mobilní aplikace</w:t>
      </w:r>
      <w:r w:rsidR="00A41E14">
        <w:rPr>
          <w:rStyle w:val="Znakapoznpodarou"/>
        </w:rPr>
        <w:footnoteReference w:id="34"/>
      </w:r>
      <w:r>
        <w:t>. Techniky gamifikace usilují o umocnění přirozené lidské soutěživosti, touhy uspět a vyjádřit se. Základní strategií je odměna hráčů za splnění požadovaných úkolů.</w:t>
      </w:r>
    </w:p>
    <w:p w:rsidR="000A6A6F" w:rsidRDefault="005E68F0" w:rsidP="00913CC5">
      <w:pPr>
        <w:spacing w:line="360" w:lineRule="auto"/>
      </w:pPr>
      <w:r>
        <w:t>Gamifikace je jednou z možných marketingových strategií. Lidé si díky své přirozené soutěživosti osvojí webové stránky, které by jinak nenavštívili nebo poskytnou informace v dotazníku, které by jinak neposkytly apod.</w:t>
      </w:r>
      <w:r w:rsidR="00982F4E">
        <w:t xml:space="preserve"> </w:t>
      </w:r>
      <w:r w:rsidR="000A6A6F">
        <w:t>Podle zprávy Gartner (2013)</w:t>
      </w:r>
      <w:r w:rsidR="000A6A6F">
        <w:rPr>
          <w:rStyle w:val="Znakapoznpodarou"/>
        </w:rPr>
        <w:footnoteReference w:id="35"/>
      </w:r>
      <w:r w:rsidR="000A6A6F">
        <w:t>, která ukazuje, v jaké části cyklu očekávání se nová technologie nachází, je gamifikace na vrcholu očekávání</w:t>
      </w:r>
      <w:r w:rsidR="00F44E61">
        <w:t xml:space="preserve"> a má před sebou ještě další vývojové stupně</w:t>
      </w:r>
      <w:r w:rsidR="00F44E61">
        <w:rPr>
          <w:rStyle w:val="Znakapoznpodarou"/>
        </w:rPr>
        <w:footnoteReference w:id="36"/>
      </w:r>
      <w:r w:rsidR="00F44E61">
        <w:t>, než se z ní stane běžná praktika k optimálnímu využití pro zvýšení produktivity.</w:t>
      </w:r>
    </w:p>
    <w:p w:rsidR="00F559AE" w:rsidRPr="00D32CDA" w:rsidRDefault="00F559AE" w:rsidP="00913CC5">
      <w:pPr>
        <w:spacing w:line="360" w:lineRule="auto"/>
        <w:rPr>
          <w:rFonts w:ascii="Arial" w:hAnsi="Arial" w:cs="Arial"/>
          <w:color w:val="000000"/>
          <w:sz w:val="20"/>
          <w:szCs w:val="20"/>
          <w:shd w:val="clear" w:color="auto" w:fill="FFFFFF"/>
        </w:rPr>
      </w:pPr>
      <w:r>
        <w:br w:type="page"/>
      </w:r>
    </w:p>
    <w:p w:rsidR="00E74D6C" w:rsidRDefault="00E74D6C" w:rsidP="00FC4A9D">
      <w:pPr>
        <w:pStyle w:val="Nadpis1"/>
        <w:spacing w:line="276" w:lineRule="auto"/>
      </w:pPr>
      <w:bookmarkStart w:id="31" w:name="_Toc368040300"/>
      <w:r>
        <w:lastRenderedPageBreak/>
        <w:t>Bariéry rozvoje internetu a internetové ekonomiky v České republice</w:t>
      </w:r>
      <w:bookmarkEnd w:id="31"/>
    </w:p>
    <w:p w:rsidR="00E74D6C" w:rsidRDefault="00E74D6C" w:rsidP="00FC4A9D">
      <w:pPr>
        <w:pStyle w:val="Nadpis2"/>
        <w:spacing w:line="276" w:lineRule="auto"/>
      </w:pPr>
      <w:bookmarkStart w:id="32" w:name="_Toc368040301"/>
      <w:r>
        <w:t>Typy bariér rozvoje internetu a internetové ekonomiky – teoretický rámec</w:t>
      </w:r>
      <w:bookmarkEnd w:id="32"/>
    </w:p>
    <w:p w:rsidR="00506242" w:rsidRDefault="00506242" w:rsidP="00CF6076">
      <w:pPr>
        <w:spacing w:line="276" w:lineRule="auto"/>
      </w:pPr>
    </w:p>
    <w:p w:rsidR="00CF6076" w:rsidRDefault="00CF6076" w:rsidP="00982F4E">
      <w:pPr>
        <w:spacing w:line="360" w:lineRule="auto"/>
      </w:pPr>
      <w:r>
        <w:t>V literatuře jsou obvykle definovány následující skupiny překážek rozvoje internetu a internetové ekonomiky:</w:t>
      </w:r>
    </w:p>
    <w:p w:rsidR="00CF6076" w:rsidRDefault="00CF6076" w:rsidP="00982F4E">
      <w:pPr>
        <w:pStyle w:val="Odstavecseseznamem"/>
        <w:numPr>
          <w:ilvl w:val="0"/>
          <w:numId w:val="28"/>
        </w:numPr>
        <w:spacing w:before="0" w:after="200" w:line="360" w:lineRule="auto"/>
      </w:pPr>
      <w:r w:rsidRPr="00B72CC4">
        <w:rPr>
          <w:b/>
        </w:rPr>
        <w:t>Lidské zdroje</w:t>
      </w:r>
      <w:r>
        <w:t xml:space="preserve"> – aby se mohla internetová ekonomika rozvíjet, je třeba, aby bylo dostatek osob, které jsou schopny se na ní aktivně podílet; tyto osoby můžeme rozdělit do následujících skupin:</w:t>
      </w:r>
    </w:p>
    <w:p w:rsidR="00CF6076" w:rsidRDefault="00CF6076" w:rsidP="00982F4E">
      <w:pPr>
        <w:pStyle w:val="Odstavecseseznamem"/>
        <w:numPr>
          <w:ilvl w:val="1"/>
          <w:numId w:val="28"/>
        </w:numPr>
        <w:spacing w:before="0" w:after="200" w:line="360" w:lineRule="auto"/>
      </w:pPr>
      <w:r>
        <w:t>Uživatelé – jedná se o nejširší a nejméně vyhraněnou skupinu osob, které se podílí na internetové ekonomice; jedná se o heterogenní skupinu, která zahrnuje osoby všech věkových kategorií, osoby s různým stupněm dosaženého vzdělání i příjmových skupin; z hlediska překážek pro rozvoj internetové ekonomiky je největším problémem, pokud uživatelé mají nízkou úroveň tzv. uživatelské e-Skills</w:t>
      </w:r>
      <w:r>
        <w:rPr>
          <w:rStyle w:val="Znakapoznpodarou"/>
        </w:rPr>
        <w:footnoteReference w:id="37"/>
      </w:r>
      <w:r>
        <w:t xml:space="preserve"> (v literatuře rovněž označováno zaměnitelnými termíny internetová/digitální gramotnost)</w:t>
      </w:r>
    </w:p>
    <w:p w:rsidR="00CF6076" w:rsidRDefault="00CF6076" w:rsidP="00982F4E">
      <w:pPr>
        <w:pStyle w:val="Odstavecseseznamem"/>
        <w:numPr>
          <w:ilvl w:val="1"/>
          <w:numId w:val="28"/>
        </w:numPr>
        <w:spacing w:before="0" w:after="200" w:line="360" w:lineRule="auto"/>
      </w:pPr>
      <w:r>
        <w:t>Kvalifikovaní uživatelé – jedná se o skupinu uživatelů, kteří internet a další ICT technologie intenzivně využívají v rámci své pracovní, výzkumné, podnikatelské či volnočasové činnosti; u těchto uživatelů se předpokládá, že určité technologie ovládají na vyšší odborné úrovni, popřípadě o osoby podnikající na internetu, osoby využívající a rozvíjející ICT systémy a internet ke zvyšování produktivity, k zlepšování administrativních procesů, k efektivnějšímu řízení apod.</w:t>
      </w:r>
    </w:p>
    <w:p w:rsidR="00CF6076" w:rsidRDefault="00CF6076" w:rsidP="00982F4E">
      <w:pPr>
        <w:pStyle w:val="Odstavecseseznamem"/>
        <w:numPr>
          <w:ilvl w:val="1"/>
          <w:numId w:val="28"/>
        </w:numPr>
        <w:spacing w:before="0" w:after="200" w:line="360" w:lineRule="auto"/>
      </w:pPr>
      <w:r>
        <w:t>Specialisté v ICT – do této skupiny patří zejména specializované ICT profese</w:t>
      </w:r>
    </w:p>
    <w:p w:rsidR="00CF6076" w:rsidRDefault="00CF6076" w:rsidP="00982F4E">
      <w:pPr>
        <w:pStyle w:val="Odstavecseseznamem"/>
        <w:numPr>
          <w:ilvl w:val="0"/>
          <w:numId w:val="28"/>
        </w:numPr>
        <w:spacing w:before="0" w:after="200" w:line="360" w:lineRule="auto"/>
      </w:pPr>
      <w:r w:rsidRPr="00B72CC4">
        <w:rPr>
          <w:b/>
        </w:rPr>
        <w:t>Dostupnost financování</w:t>
      </w:r>
      <w:r>
        <w:t xml:space="preserve"> – IT sektor je pro tradiční finanční instituce a investory v ČR stále ne zcela srozumitelným odvětvím, a proto může být pro společnosti, které v tomto odvětví </w:t>
      </w:r>
      <w:r w:rsidR="00C051D5" w:rsidRPr="00C051D5">
        <w:t xml:space="preserve">podnikají, někdy </w:t>
      </w:r>
      <w:r>
        <w:t xml:space="preserve">obtížné získat prostředky na rozvoj a investice; podobně i z hlediska financování veřejnými subjekty (dotace, návratné finanční výpomoci, granty apod.) mají internetové podniky někdy vzhledem ke svému specifickému charakteru </w:t>
      </w:r>
      <w:r>
        <w:lastRenderedPageBreak/>
        <w:t>problém tyto zdroje financování využít (do této oblasti spadají i finanční nástroje typu pre-seed či seed)</w:t>
      </w:r>
    </w:p>
    <w:p w:rsidR="00CF6076" w:rsidRDefault="00CF6076" w:rsidP="00982F4E">
      <w:pPr>
        <w:pStyle w:val="Odstavecseseznamem"/>
        <w:numPr>
          <w:ilvl w:val="0"/>
          <w:numId w:val="28"/>
        </w:numPr>
        <w:spacing w:before="0" w:after="200" w:line="360" w:lineRule="auto"/>
      </w:pPr>
      <w:r w:rsidRPr="00B72CC4">
        <w:rPr>
          <w:b/>
        </w:rPr>
        <w:t>Fyzická infrastruktura</w:t>
      </w:r>
      <w:r>
        <w:t xml:space="preserve"> – možná omezení mohou plynout internetové ekonomice i z nedostatečného rozvoje širokopásmového připojení či z nestabilní elektrické sítě (</w:t>
      </w:r>
      <w:r w:rsidRPr="00622506">
        <w:rPr>
          <w:i/>
        </w:rPr>
        <w:t>rozvoj infrastruktury je nutná podmínka ekonomické konkurenceschopnosti a tedy i rozvoje internetové ekonomiky</w:t>
      </w:r>
      <w:r>
        <w:t>)</w:t>
      </w:r>
    </w:p>
    <w:p w:rsidR="00CF6076" w:rsidRDefault="00CF6076" w:rsidP="00982F4E">
      <w:pPr>
        <w:pStyle w:val="Odstavecseseznamem"/>
        <w:numPr>
          <w:ilvl w:val="0"/>
          <w:numId w:val="28"/>
        </w:numPr>
        <w:spacing w:before="0" w:after="200" w:line="360" w:lineRule="auto"/>
      </w:pPr>
      <w:r w:rsidRPr="00B72CC4">
        <w:rPr>
          <w:b/>
        </w:rPr>
        <w:t>Institucionální překážky</w:t>
      </w:r>
      <w:r>
        <w:t xml:space="preserve"> - typicky se tyto překážky dají rozdělit na dva základní okruhy, které mají pro internet limitující charakter:</w:t>
      </w:r>
    </w:p>
    <w:p w:rsidR="00CF6076" w:rsidRDefault="00CF6076" w:rsidP="00982F4E">
      <w:pPr>
        <w:pStyle w:val="Odstavecseseznamem"/>
        <w:numPr>
          <w:ilvl w:val="1"/>
          <w:numId w:val="28"/>
        </w:numPr>
        <w:spacing w:before="0" w:after="200" w:line="360" w:lineRule="auto"/>
      </w:pPr>
      <w:r>
        <w:t>Nedostatečné využívání internetu veřejnými institucemi, malá nebo žádná podpora elektronizace veřejných služeb, malá nebo žádná podpora zpřístupnění internetu ve veřejných budovách či na veřejných prostranstvích (</w:t>
      </w:r>
      <w:r w:rsidRPr="00C160FA">
        <w:rPr>
          <w:i/>
        </w:rPr>
        <w:t>elektronizace veřejné správy a aktivita veřejných institucí v této oblasti může výrazně přispět k rozvoji internetové ekonomiky a mít motivující účinek na uživatele internetu k zvýšení jejich aktivity</w:t>
      </w:r>
      <w:r>
        <w:t>)</w:t>
      </w:r>
    </w:p>
    <w:p w:rsidR="00CF6076" w:rsidRDefault="00CF6076" w:rsidP="00982F4E">
      <w:pPr>
        <w:pStyle w:val="Odstavecseseznamem"/>
        <w:numPr>
          <w:ilvl w:val="1"/>
          <w:numId w:val="28"/>
        </w:numPr>
        <w:spacing w:before="0" w:after="200" w:line="360" w:lineRule="auto"/>
      </w:pPr>
      <w:r>
        <w:t>Nedostatečný zájem a nedostatečná informovanost veřejných institucí o internetu a významu internetové ekonomiky pro zvyšování konkurenceschopnosti (</w:t>
      </w:r>
      <w:r w:rsidRPr="00C160FA">
        <w:rPr>
          <w:i/>
        </w:rPr>
        <w:t>internet je klasická průřezová klíčová technologie – key enabling technology – která přispívá výrazně k rozvoji celé řady nových, ale i tradičních odvětví; pokud si nejsou veřejné instituce vědomy, jakým způsobem a v jakém rozsahu je internet významným nástrojem pro ekonomický rozvoj, mohou nevědomky blokovat potenciál rozvoje internetové ekonomiky</w:t>
      </w:r>
      <w:r>
        <w:t>)</w:t>
      </w:r>
    </w:p>
    <w:p w:rsidR="00CF6076" w:rsidRDefault="00CF6076" w:rsidP="00982F4E">
      <w:pPr>
        <w:pStyle w:val="Odstavecseseznamem"/>
        <w:numPr>
          <w:ilvl w:val="0"/>
          <w:numId w:val="28"/>
        </w:numPr>
        <w:spacing w:before="0" w:after="200" w:line="360" w:lineRule="auto"/>
      </w:pPr>
      <w:r w:rsidRPr="00B72CC4">
        <w:rPr>
          <w:b/>
        </w:rPr>
        <w:t>Regulace</w:t>
      </w:r>
      <w:r>
        <w:t xml:space="preserve"> – ačkoliv internet nepatří, zejména díky svému globálnímu a průřezovému charakteru mezi významně regulované oblasti</w:t>
      </w:r>
      <w:r>
        <w:rPr>
          <w:rStyle w:val="Znakapoznpodarou"/>
        </w:rPr>
        <w:footnoteReference w:id="38"/>
      </w:r>
      <w:r>
        <w:t>, i rozvoj internetové ekonomiky může být zbrzděn nevhodně nastavenou regulací (například zdaněním či zpoplatněním některých internetových aktivit, znesnadněním podmínek pro podnikání a investice na internetu apod.); do této kategorie překážek patří i například i kontrola internetového obsahu, protipirátské aktivity apod. (vždy platí, že problémem může být přehnaná i nedostatečná regulace)</w:t>
      </w:r>
      <w:r>
        <w:rPr>
          <w:rStyle w:val="Znakapoznpodarou"/>
        </w:rPr>
        <w:footnoteReference w:id="39"/>
      </w:r>
      <w:r>
        <w:t xml:space="preserve"> </w:t>
      </w:r>
    </w:p>
    <w:p w:rsidR="00CF6076" w:rsidRDefault="00CF6076" w:rsidP="00982F4E">
      <w:pPr>
        <w:pStyle w:val="Odstavecseseznamem"/>
        <w:numPr>
          <w:ilvl w:val="0"/>
          <w:numId w:val="28"/>
        </w:numPr>
        <w:spacing w:before="0" w:after="200" w:line="360" w:lineRule="auto"/>
      </w:pPr>
      <w:r w:rsidRPr="00B72CC4">
        <w:rPr>
          <w:b/>
        </w:rPr>
        <w:t>Politika</w:t>
      </w:r>
      <w:r>
        <w:t xml:space="preserve"> – překážkou rozvoje internetu a internetové ekonomiky mohou být i snahy politiků cenzurovat projevy na internetu nebo jeho rozvoj v zájmu ochrany režimu či propagandy jiným způsobem omezovat </w:t>
      </w:r>
    </w:p>
    <w:p w:rsidR="00506242" w:rsidRDefault="00506242" w:rsidP="00982F4E">
      <w:pPr>
        <w:spacing w:before="0" w:after="200" w:line="360" w:lineRule="auto"/>
      </w:pPr>
    </w:p>
    <w:p w:rsidR="00CF6076" w:rsidRDefault="00CF6076" w:rsidP="00982F4E">
      <w:pPr>
        <w:pStyle w:val="Nadpis2"/>
        <w:numPr>
          <w:ilvl w:val="1"/>
          <w:numId w:val="1"/>
        </w:numPr>
        <w:spacing w:line="360" w:lineRule="auto"/>
      </w:pPr>
      <w:bookmarkStart w:id="33" w:name="_Toc368040302"/>
      <w:r>
        <w:lastRenderedPageBreak/>
        <w:t>Konzultace – kvantitativní shrnutí výsledků</w:t>
      </w:r>
      <w:bookmarkEnd w:id="33"/>
    </w:p>
    <w:p w:rsidR="00506242" w:rsidRPr="00506242" w:rsidRDefault="00506242" w:rsidP="00982F4E">
      <w:pPr>
        <w:spacing w:line="360" w:lineRule="auto"/>
      </w:pPr>
    </w:p>
    <w:p w:rsidR="00506242" w:rsidRDefault="00CF6076" w:rsidP="00982F4E">
      <w:pPr>
        <w:spacing w:line="360" w:lineRule="auto"/>
      </w:pPr>
      <w:r>
        <w:t>Na základě konzultací realizovaných zpracovatelem k této studii vyplynulo pořadí výše uvedených problémů (v členění do problémových okruhů), které je uvedeno formou kvalitativního modelu v následující tabulce (členěné dle důležitosti).</w:t>
      </w:r>
    </w:p>
    <w:p w:rsidR="00506242" w:rsidRDefault="00506242" w:rsidP="00982F4E">
      <w:pPr>
        <w:spacing w:line="360" w:lineRule="auto"/>
      </w:pPr>
    </w:p>
    <w:tbl>
      <w:tblPr>
        <w:tblStyle w:val="Svtlstnovn"/>
        <w:tblW w:w="8761" w:type="dxa"/>
        <w:tblLook w:val="04A0"/>
      </w:tblPr>
      <w:tblGrid>
        <w:gridCol w:w="3085"/>
        <w:gridCol w:w="567"/>
        <w:gridCol w:w="567"/>
        <w:gridCol w:w="567"/>
        <w:gridCol w:w="567"/>
        <w:gridCol w:w="567"/>
        <w:gridCol w:w="567"/>
        <w:gridCol w:w="567"/>
        <w:gridCol w:w="567"/>
        <w:gridCol w:w="1140"/>
      </w:tblGrid>
      <w:tr w:rsidR="00CF6076" w:rsidRPr="00C943FB" w:rsidTr="00EE3CDC">
        <w:trPr>
          <w:cnfStyle w:val="100000000000"/>
          <w:trHeight w:val="330"/>
        </w:trPr>
        <w:tc>
          <w:tcPr>
            <w:cnfStyle w:val="001000000000"/>
            <w:tcW w:w="3085" w:type="dxa"/>
            <w:noWrap/>
            <w:hideMark/>
          </w:tcPr>
          <w:p w:rsidR="00CF6076" w:rsidRPr="00C943FB" w:rsidRDefault="00CF6076" w:rsidP="00982F4E">
            <w:pPr>
              <w:spacing w:before="0" w:after="0" w:line="360" w:lineRule="auto"/>
              <w:jc w:val="left"/>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Problémový okruh</w:t>
            </w:r>
          </w:p>
        </w:tc>
        <w:tc>
          <w:tcPr>
            <w:tcW w:w="567" w:type="dxa"/>
            <w:noWrap/>
            <w:hideMark/>
          </w:tcPr>
          <w:p w:rsidR="00CF6076" w:rsidRPr="00C943FB" w:rsidRDefault="00CF6076" w:rsidP="00982F4E">
            <w:pPr>
              <w:spacing w:before="0" w:after="0" w:line="360" w:lineRule="auto"/>
              <w:jc w:val="left"/>
              <w:cnfStyle w:val="100000000000"/>
              <w:rPr>
                <w:rFonts w:ascii="Arial" w:eastAsia="Times New Roman" w:hAnsi="Arial" w:cs="Arial"/>
                <w:color w:val="000000"/>
                <w:sz w:val="20"/>
                <w:szCs w:val="20"/>
                <w:lang w:eastAsia="cs-CZ"/>
              </w:rPr>
            </w:pPr>
            <w:bookmarkStart w:id="34" w:name="RANGE!B1"/>
            <w:r w:rsidRPr="00C943FB">
              <w:rPr>
                <w:rFonts w:ascii="Arial" w:eastAsia="Times New Roman" w:hAnsi="Arial" w:cs="Arial"/>
                <w:color w:val="000000"/>
                <w:sz w:val="20"/>
                <w:szCs w:val="20"/>
                <w:lang w:eastAsia="cs-CZ"/>
              </w:rPr>
              <w:t>A</w:t>
            </w:r>
            <w:bookmarkEnd w:id="34"/>
            <w:r>
              <w:rPr>
                <w:rStyle w:val="Znakapoznpodarou"/>
                <w:rFonts w:ascii="Arial" w:eastAsia="Times New Roman" w:hAnsi="Arial" w:cs="Arial"/>
                <w:sz w:val="20"/>
                <w:szCs w:val="20"/>
                <w:lang w:eastAsia="cs-CZ"/>
              </w:rPr>
              <w:footnoteReference w:id="40"/>
            </w:r>
          </w:p>
        </w:tc>
        <w:tc>
          <w:tcPr>
            <w:tcW w:w="567" w:type="dxa"/>
            <w:noWrap/>
            <w:hideMark/>
          </w:tcPr>
          <w:p w:rsidR="00CF6076" w:rsidRPr="00C943FB" w:rsidRDefault="00CF6076" w:rsidP="00982F4E">
            <w:pPr>
              <w:spacing w:before="0" w:after="0" w:line="360" w:lineRule="auto"/>
              <w:jc w:val="left"/>
              <w:cnfStyle w:val="1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B</w:t>
            </w:r>
          </w:p>
        </w:tc>
        <w:tc>
          <w:tcPr>
            <w:tcW w:w="567" w:type="dxa"/>
            <w:noWrap/>
            <w:hideMark/>
          </w:tcPr>
          <w:p w:rsidR="00CF6076" w:rsidRPr="00C943FB" w:rsidRDefault="00CF6076" w:rsidP="00982F4E">
            <w:pPr>
              <w:spacing w:before="0" w:after="0" w:line="360" w:lineRule="auto"/>
              <w:jc w:val="left"/>
              <w:cnfStyle w:val="1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C</w:t>
            </w:r>
          </w:p>
        </w:tc>
        <w:tc>
          <w:tcPr>
            <w:tcW w:w="567" w:type="dxa"/>
            <w:noWrap/>
            <w:hideMark/>
          </w:tcPr>
          <w:p w:rsidR="00CF6076" w:rsidRPr="00C943FB" w:rsidRDefault="00CF6076" w:rsidP="00982F4E">
            <w:pPr>
              <w:spacing w:before="0" w:after="0" w:line="360" w:lineRule="auto"/>
              <w:jc w:val="left"/>
              <w:cnfStyle w:val="1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D</w:t>
            </w:r>
          </w:p>
        </w:tc>
        <w:tc>
          <w:tcPr>
            <w:tcW w:w="567" w:type="dxa"/>
            <w:noWrap/>
            <w:hideMark/>
          </w:tcPr>
          <w:p w:rsidR="00CF6076" w:rsidRPr="00C943FB" w:rsidRDefault="00CF6076" w:rsidP="00982F4E">
            <w:pPr>
              <w:spacing w:before="0" w:after="0" w:line="360" w:lineRule="auto"/>
              <w:jc w:val="left"/>
              <w:cnfStyle w:val="1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E</w:t>
            </w:r>
          </w:p>
        </w:tc>
        <w:tc>
          <w:tcPr>
            <w:tcW w:w="567" w:type="dxa"/>
            <w:noWrap/>
            <w:hideMark/>
          </w:tcPr>
          <w:p w:rsidR="00CF6076" w:rsidRPr="00C943FB" w:rsidRDefault="00CF6076" w:rsidP="00982F4E">
            <w:pPr>
              <w:spacing w:before="0" w:after="0" w:line="360" w:lineRule="auto"/>
              <w:jc w:val="left"/>
              <w:cnfStyle w:val="1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F</w:t>
            </w:r>
          </w:p>
        </w:tc>
        <w:tc>
          <w:tcPr>
            <w:tcW w:w="567" w:type="dxa"/>
            <w:noWrap/>
            <w:hideMark/>
          </w:tcPr>
          <w:p w:rsidR="00CF6076" w:rsidRPr="00C943FB" w:rsidRDefault="00CF6076" w:rsidP="00982F4E">
            <w:pPr>
              <w:spacing w:before="0" w:after="0" w:line="360" w:lineRule="auto"/>
              <w:jc w:val="left"/>
              <w:cnfStyle w:val="1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G</w:t>
            </w:r>
          </w:p>
        </w:tc>
        <w:tc>
          <w:tcPr>
            <w:tcW w:w="567" w:type="dxa"/>
            <w:noWrap/>
            <w:hideMark/>
          </w:tcPr>
          <w:p w:rsidR="00CF6076" w:rsidRPr="00C943FB" w:rsidRDefault="00CF6076" w:rsidP="00982F4E">
            <w:pPr>
              <w:spacing w:before="0" w:after="0" w:line="360" w:lineRule="auto"/>
              <w:jc w:val="left"/>
              <w:cnfStyle w:val="1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H</w:t>
            </w:r>
          </w:p>
        </w:tc>
        <w:tc>
          <w:tcPr>
            <w:tcW w:w="1140" w:type="dxa"/>
            <w:noWrap/>
            <w:hideMark/>
          </w:tcPr>
          <w:p w:rsidR="00CF6076" w:rsidRPr="00C943FB" w:rsidRDefault="00CF6076" w:rsidP="00982F4E">
            <w:pPr>
              <w:spacing w:before="0" w:after="0" w:line="360" w:lineRule="auto"/>
              <w:jc w:val="left"/>
              <w:cnfStyle w:val="1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intenzita</w:t>
            </w:r>
          </w:p>
        </w:tc>
      </w:tr>
      <w:tr w:rsidR="00CF6076" w:rsidRPr="00C943FB" w:rsidTr="00EE3CDC">
        <w:trPr>
          <w:cnfStyle w:val="000000100000"/>
          <w:trHeight w:val="300"/>
        </w:trPr>
        <w:tc>
          <w:tcPr>
            <w:cnfStyle w:val="001000000000"/>
            <w:tcW w:w="3085" w:type="dxa"/>
            <w:noWrap/>
            <w:hideMark/>
          </w:tcPr>
          <w:p w:rsidR="00CF6076" w:rsidRPr="00C943FB" w:rsidRDefault="00CF6076" w:rsidP="00982F4E">
            <w:pPr>
              <w:spacing w:before="0" w:after="0" w:line="360" w:lineRule="auto"/>
              <w:jc w:val="left"/>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Personální obsazení ve veřejné správě</w:t>
            </w:r>
          </w:p>
        </w:tc>
        <w:tc>
          <w:tcPr>
            <w:tcW w:w="567" w:type="dxa"/>
            <w:noWrap/>
            <w:hideMark/>
          </w:tcPr>
          <w:p w:rsidR="00CF6076" w:rsidRPr="00C943FB" w:rsidRDefault="00CF6076" w:rsidP="00982F4E">
            <w:pPr>
              <w:spacing w:before="0" w:after="0" w:line="360" w:lineRule="auto"/>
              <w:jc w:val="left"/>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w:t>
            </w:r>
          </w:p>
        </w:tc>
        <w:tc>
          <w:tcPr>
            <w:tcW w:w="567" w:type="dxa"/>
            <w:noWrap/>
            <w:hideMark/>
          </w:tcPr>
          <w:p w:rsidR="00CF6076" w:rsidRPr="00C943FB" w:rsidRDefault="00CF6076" w:rsidP="00982F4E">
            <w:pPr>
              <w:spacing w:before="0" w:after="0" w:line="360" w:lineRule="auto"/>
              <w:jc w:val="left"/>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xxx</w:t>
            </w:r>
          </w:p>
        </w:tc>
        <w:tc>
          <w:tcPr>
            <w:tcW w:w="567" w:type="dxa"/>
            <w:noWrap/>
            <w:hideMark/>
          </w:tcPr>
          <w:p w:rsidR="00CF6076" w:rsidRPr="00C943FB" w:rsidRDefault="00CF6076" w:rsidP="00982F4E">
            <w:pPr>
              <w:spacing w:before="0" w:after="0" w:line="360" w:lineRule="auto"/>
              <w:jc w:val="left"/>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o</w:t>
            </w:r>
          </w:p>
        </w:tc>
        <w:tc>
          <w:tcPr>
            <w:tcW w:w="567" w:type="dxa"/>
            <w:noWrap/>
            <w:hideMark/>
          </w:tcPr>
          <w:p w:rsidR="00CF6076" w:rsidRPr="00C943FB" w:rsidRDefault="00CF6076" w:rsidP="00982F4E">
            <w:pPr>
              <w:spacing w:before="0" w:after="0" w:line="360" w:lineRule="auto"/>
              <w:jc w:val="left"/>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xxx</w:t>
            </w:r>
          </w:p>
        </w:tc>
        <w:tc>
          <w:tcPr>
            <w:tcW w:w="567" w:type="dxa"/>
            <w:noWrap/>
            <w:hideMark/>
          </w:tcPr>
          <w:p w:rsidR="00CF6076" w:rsidRPr="00C943FB" w:rsidRDefault="00CF6076" w:rsidP="00982F4E">
            <w:pPr>
              <w:spacing w:before="0" w:after="0" w:line="360" w:lineRule="auto"/>
              <w:jc w:val="left"/>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xxx</w:t>
            </w:r>
          </w:p>
        </w:tc>
        <w:tc>
          <w:tcPr>
            <w:tcW w:w="567" w:type="dxa"/>
            <w:noWrap/>
            <w:hideMark/>
          </w:tcPr>
          <w:p w:rsidR="00CF6076" w:rsidRPr="00C943FB" w:rsidRDefault="00CF6076" w:rsidP="00982F4E">
            <w:pPr>
              <w:spacing w:before="0" w:after="0" w:line="360" w:lineRule="auto"/>
              <w:jc w:val="left"/>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xxx</w:t>
            </w:r>
          </w:p>
        </w:tc>
        <w:tc>
          <w:tcPr>
            <w:tcW w:w="567" w:type="dxa"/>
            <w:noWrap/>
            <w:hideMark/>
          </w:tcPr>
          <w:p w:rsidR="00CF6076" w:rsidRPr="00C943FB" w:rsidRDefault="00CF6076" w:rsidP="00982F4E">
            <w:pPr>
              <w:spacing w:before="0" w:after="0" w:line="360" w:lineRule="auto"/>
              <w:jc w:val="left"/>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xx</w:t>
            </w:r>
          </w:p>
        </w:tc>
        <w:tc>
          <w:tcPr>
            <w:tcW w:w="567" w:type="dxa"/>
            <w:noWrap/>
            <w:hideMark/>
          </w:tcPr>
          <w:p w:rsidR="00CF6076" w:rsidRPr="00C943FB" w:rsidRDefault="00CF6076" w:rsidP="00982F4E">
            <w:pPr>
              <w:spacing w:before="0" w:after="0" w:line="360" w:lineRule="auto"/>
              <w:jc w:val="left"/>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xxx</w:t>
            </w:r>
          </w:p>
        </w:tc>
        <w:tc>
          <w:tcPr>
            <w:tcW w:w="1140" w:type="dxa"/>
            <w:noWrap/>
            <w:hideMark/>
          </w:tcPr>
          <w:p w:rsidR="00CF6076" w:rsidRPr="00C943FB" w:rsidRDefault="00CF6076" w:rsidP="00982F4E">
            <w:pPr>
              <w:spacing w:before="0" w:after="0" w:line="360" w:lineRule="auto"/>
              <w:jc w:val="left"/>
              <w:cnfStyle w:val="000000100000"/>
              <w:rPr>
                <w:rFonts w:ascii="Arial" w:eastAsia="Times New Roman" w:hAnsi="Arial" w:cs="Arial"/>
                <w:b/>
                <w:bCs/>
                <w:color w:val="000000"/>
                <w:sz w:val="20"/>
                <w:szCs w:val="20"/>
                <w:lang w:eastAsia="cs-CZ"/>
              </w:rPr>
            </w:pPr>
            <w:r w:rsidRPr="00C943FB">
              <w:rPr>
                <w:rFonts w:ascii="Arial" w:eastAsia="Times New Roman" w:hAnsi="Arial" w:cs="Arial"/>
                <w:b/>
                <w:bCs/>
                <w:color w:val="000000"/>
                <w:sz w:val="20"/>
                <w:szCs w:val="20"/>
                <w:lang w:eastAsia="cs-CZ"/>
              </w:rPr>
              <w:t>vysoká</w:t>
            </w:r>
          </w:p>
        </w:tc>
      </w:tr>
      <w:tr w:rsidR="00CF6076" w:rsidRPr="00C943FB" w:rsidTr="00EE3CDC">
        <w:trPr>
          <w:trHeight w:val="300"/>
        </w:trPr>
        <w:tc>
          <w:tcPr>
            <w:cnfStyle w:val="001000000000"/>
            <w:tcW w:w="3085" w:type="dxa"/>
            <w:noWrap/>
            <w:hideMark/>
          </w:tcPr>
          <w:p w:rsidR="00CF6076" w:rsidRPr="00C943FB" w:rsidRDefault="00CF6076" w:rsidP="00982F4E">
            <w:pPr>
              <w:spacing w:before="0" w:after="0" w:line="360" w:lineRule="auto"/>
              <w:jc w:val="left"/>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Internet pro konkurenceschopnost</w:t>
            </w:r>
          </w:p>
        </w:tc>
        <w:tc>
          <w:tcPr>
            <w:tcW w:w="567" w:type="dxa"/>
            <w:hideMark/>
          </w:tcPr>
          <w:p w:rsidR="00CF6076" w:rsidRPr="00C943FB" w:rsidRDefault="00CF6076" w:rsidP="00982F4E">
            <w:pPr>
              <w:spacing w:before="0" w:after="0" w:line="360" w:lineRule="auto"/>
              <w:cnfStyle w:val="0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w:t>
            </w:r>
          </w:p>
        </w:tc>
        <w:tc>
          <w:tcPr>
            <w:tcW w:w="567" w:type="dxa"/>
            <w:hideMark/>
          </w:tcPr>
          <w:p w:rsidR="00CF6076" w:rsidRPr="00C943FB" w:rsidRDefault="00CF6076" w:rsidP="00982F4E">
            <w:pPr>
              <w:spacing w:before="0" w:after="0" w:line="360" w:lineRule="auto"/>
              <w:cnfStyle w:val="0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xxx</w:t>
            </w:r>
          </w:p>
        </w:tc>
        <w:tc>
          <w:tcPr>
            <w:tcW w:w="567" w:type="dxa"/>
            <w:hideMark/>
          </w:tcPr>
          <w:p w:rsidR="00CF6076" w:rsidRPr="00C943FB" w:rsidRDefault="00CF6076" w:rsidP="00982F4E">
            <w:pPr>
              <w:spacing w:before="0" w:after="0" w:line="360" w:lineRule="auto"/>
              <w:cnfStyle w:val="0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w:t>
            </w:r>
          </w:p>
        </w:tc>
        <w:tc>
          <w:tcPr>
            <w:tcW w:w="567" w:type="dxa"/>
            <w:hideMark/>
          </w:tcPr>
          <w:p w:rsidR="00CF6076" w:rsidRPr="00C943FB" w:rsidRDefault="00CF6076" w:rsidP="00982F4E">
            <w:pPr>
              <w:spacing w:before="0" w:after="0" w:line="360" w:lineRule="auto"/>
              <w:cnfStyle w:val="0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xxx</w:t>
            </w:r>
          </w:p>
        </w:tc>
        <w:tc>
          <w:tcPr>
            <w:tcW w:w="567" w:type="dxa"/>
            <w:hideMark/>
          </w:tcPr>
          <w:p w:rsidR="00CF6076" w:rsidRPr="00C943FB" w:rsidRDefault="00CF6076" w:rsidP="00982F4E">
            <w:pPr>
              <w:spacing w:before="0" w:after="0" w:line="360" w:lineRule="auto"/>
              <w:cnfStyle w:val="0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xxx</w:t>
            </w:r>
          </w:p>
        </w:tc>
        <w:tc>
          <w:tcPr>
            <w:tcW w:w="567" w:type="dxa"/>
            <w:hideMark/>
          </w:tcPr>
          <w:p w:rsidR="00CF6076" w:rsidRPr="00C943FB" w:rsidRDefault="00CF6076" w:rsidP="00982F4E">
            <w:pPr>
              <w:spacing w:before="0" w:after="0" w:line="360" w:lineRule="auto"/>
              <w:cnfStyle w:val="0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xx</w:t>
            </w:r>
          </w:p>
        </w:tc>
        <w:tc>
          <w:tcPr>
            <w:tcW w:w="567" w:type="dxa"/>
            <w:hideMark/>
          </w:tcPr>
          <w:p w:rsidR="00CF6076" w:rsidRPr="00C943FB" w:rsidRDefault="00CF6076" w:rsidP="00982F4E">
            <w:pPr>
              <w:spacing w:before="0" w:after="0" w:line="360" w:lineRule="auto"/>
              <w:cnfStyle w:val="0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xxx</w:t>
            </w:r>
          </w:p>
        </w:tc>
        <w:tc>
          <w:tcPr>
            <w:tcW w:w="567" w:type="dxa"/>
            <w:hideMark/>
          </w:tcPr>
          <w:p w:rsidR="00CF6076" w:rsidRPr="00C943FB" w:rsidRDefault="00CF6076" w:rsidP="00982F4E">
            <w:pPr>
              <w:spacing w:before="0" w:after="0" w:line="360" w:lineRule="auto"/>
              <w:cnfStyle w:val="0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xx</w:t>
            </w:r>
          </w:p>
        </w:tc>
        <w:tc>
          <w:tcPr>
            <w:tcW w:w="1140" w:type="dxa"/>
            <w:hideMark/>
          </w:tcPr>
          <w:p w:rsidR="00CF6076" w:rsidRPr="00C943FB" w:rsidRDefault="00CF6076" w:rsidP="00982F4E">
            <w:pPr>
              <w:spacing w:before="0" w:after="0" w:line="360" w:lineRule="auto"/>
              <w:jc w:val="left"/>
              <w:cnfStyle w:val="000000000000"/>
              <w:rPr>
                <w:rFonts w:ascii="Arial" w:eastAsia="Times New Roman" w:hAnsi="Arial" w:cs="Arial"/>
                <w:b/>
                <w:bCs/>
                <w:color w:val="000000"/>
                <w:sz w:val="20"/>
                <w:szCs w:val="20"/>
                <w:lang w:eastAsia="cs-CZ"/>
              </w:rPr>
            </w:pPr>
            <w:r w:rsidRPr="00C943FB">
              <w:rPr>
                <w:rFonts w:ascii="Arial" w:eastAsia="Times New Roman" w:hAnsi="Arial" w:cs="Arial"/>
                <w:b/>
                <w:bCs/>
                <w:color w:val="000000"/>
                <w:sz w:val="20"/>
                <w:szCs w:val="20"/>
                <w:lang w:eastAsia="cs-CZ"/>
              </w:rPr>
              <w:t>vysoká</w:t>
            </w:r>
          </w:p>
        </w:tc>
      </w:tr>
      <w:tr w:rsidR="00CF6076" w:rsidRPr="00C943FB" w:rsidTr="00EE3CDC">
        <w:trPr>
          <w:cnfStyle w:val="000000100000"/>
          <w:trHeight w:val="300"/>
        </w:trPr>
        <w:tc>
          <w:tcPr>
            <w:cnfStyle w:val="001000000000"/>
            <w:tcW w:w="3085" w:type="dxa"/>
            <w:noWrap/>
            <w:hideMark/>
          </w:tcPr>
          <w:p w:rsidR="00CF6076" w:rsidRPr="00C943FB" w:rsidRDefault="00CF6076" w:rsidP="00982F4E">
            <w:pPr>
              <w:spacing w:before="0" w:after="0" w:line="360" w:lineRule="auto"/>
              <w:jc w:val="left"/>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Legislativa</w:t>
            </w:r>
          </w:p>
        </w:tc>
        <w:tc>
          <w:tcPr>
            <w:tcW w:w="567" w:type="dxa"/>
            <w:noWrap/>
            <w:hideMark/>
          </w:tcPr>
          <w:p w:rsidR="00CF6076" w:rsidRPr="00C943FB" w:rsidRDefault="00CF6076" w:rsidP="00982F4E">
            <w:pPr>
              <w:spacing w:before="0" w:after="0" w:line="360" w:lineRule="auto"/>
              <w:jc w:val="left"/>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o</w:t>
            </w:r>
          </w:p>
        </w:tc>
        <w:tc>
          <w:tcPr>
            <w:tcW w:w="567" w:type="dxa"/>
            <w:noWrap/>
            <w:hideMark/>
          </w:tcPr>
          <w:p w:rsidR="00CF6076" w:rsidRPr="00C943FB" w:rsidRDefault="00CF6076" w:rsidP="00982F4E">
            <w:pPr>
              <w:spacing w:before="0" w:after="0" w:line="360" w:lineRule="auto"/>
              <w:jc w:val="left"/>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xxx</w:t>
            </w:r>
          </w:p>
        </w:tc>
        <w:tc>
          <w:tcPr>
            <w:tcW w:w="567" w:type="dxa"/>
            <w:noWrap/>
            <w:hideMark/>
          </w:tcPr>
          <w:p w:rsidR="00CF6076" w:rsidRPr="00C943FB" w:rsidRDefault="00CF6076" w:rsidP="00982F4E">
            <w:pPr>
              <w:spacing w:before="0" w:after="0" w:line="360" w:lineRule="auto"/>
              <w:jc w:val="left"/>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xxx</w:t>
            </w:r>
          </w:p>
        </w:tc>
        <w:tc>
          <w:tcPr>
            <w:tcW w:w="567" w:type="dxa"/>
            <w:noWrap/>
            <w:hideMark/>
          </w:tcPr>
          <w:p w:rsidR="00CF6076" w:rsidRPr="00C943FB" w:rsidRDefault="00CF6076" w:rsidP="00982F4E">
            <w:pPr>
              <w:spacing w:before="0" w:after="0" w:line="360" w:lineRule="auto"/>
              <w:jc w:val="left"/>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xxx</w:t>
            </w:r>
          </w:p>
        </w:tc>
        <w:tc>
          <w:tcPr>
            <w:tcW w:w="567" w:type="dxa"/>
            <w:noWrap/>
            <w:hideMark/>
          </w:tcPr>
          <w:p w:rsidR="00CF6076" w:rsidRPr="00C943FB" w:rsidRDefault="00CF6076" w:rsidP="00982F4E">
            <w:pPr>
              <w:spacing w:before="0" w:after="0" w:line="360" w:lineRule="auto"/>
              <w:jc w:val="left"/>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xxx</w:t>
            </w:r>
          </w:p>
        </w:tc>
        <w:tc>
          <w:tcPr>
            <w:tcW w:w="567" w:type="dxa"/>
            <w:noWrap/>
            <w:hideMark/>
          </w:tcPr>
          <w:p w:rsidR="00CF6076" w:rsidRPr="00C943FB" w:rsidRDefault="00CF6076" w:rsidP="00982F4E">
            <w:pPr>
              <w:spacing w:before="0" w:after="0" w:line="360" w:lineRule="auto"/>
              <w:jc w:val="left"/>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xx</w:t>
            </w:r>
          </w:p>
        </w:tc>
        <w:tc>
          <w:tcPr>
            <w:tcW w:w="567" w:type="dxa"/>
            <w:noWrap/>
            <w:hideMark/>
          </w:tcPr>
          <w:p w:rsidR="00CF6076" w:rsidRPr="00C943FB" w:rsidRDefault="00CF6076" w:rsidP="00982F4E">
            <w:pPr>
              <w:spacing w:before="0" w:after="0" w:line="360" w:lineRule="auto"/>
              <w:jc w:val="left"/>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w:t>
            </w:r>
          </w:p>
        </w:tc>
        <w:tc>
          <w:tcPr>
            <w:tcW w:w="567" w:type="dxa"/>
            <w:noWrap/>
            <w:hideMark/>
          </w:tcPr>
          <w:p w:rsidR="00CF6076" w:rsidRPr="00C943FB" w:rsidRDefault="00CF6076" w:rsidP="00982F4E">
            <w:pPr>
              <w:spacing w:before="0" w:after="0" w:line="360" w:lineRule="auto"/>
              <w:jc w:val="left"/>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o</w:t>
            </w:r>
          </w:p>
        </w:tc>
        <w:tc>
          <w:tcPr>
            <w:tcW w:w="1140" w:type="dxa"/>
            <w:noWrap/>
            <w:hideMark/>
          </w:tcPr>
          <w:p w:rsidR="00CF6076" w:rsidRPr="00C943FB" w:rsidRDefault="00CF6076" w:rsidP="00982F4E">
            <w:pPr>
              <w:spacing w:before="0" w:after="0" w:line="360" w:lineRule="auto"/>
              <w:jc w:val="left"/>
              <w:cnfStyle w:val="000000100000"/>
              <w:rPr>
                <w:rFonts w:ascii="Arial" w:eastAsia="Times New Roman" w:hAnsi="Arial" w:cs="Arial"/>
                <w:b/>
                <w:bCs/>
                <w:color w:val="000000"/>
                <w:sz w:val="20"/>
                <w:szCs w:val="20"/>
                <w:lang w:eastAsia="cs-CZ"/>
              </w:rPr>
            </w:pPr>
            <w:r w:rsidRPr="00C943FB">
              <w:rPr>
                <w:rFonts w:ascii="Arial" w:eastAsia="Times New Roman" w:hAnsi="Arial" w:cs="Arial"/>
                <w:b/>
                <w:bCs/>
                <w:color w:val="000000"/>
                <w:sz w:val="20"/>
                <w:szCs w:val="20"/>
                <w:lang w:eastAsia="cs-CZ"/>
              </w:rPr>
              <w:t>střední</w:t>
            </w:r>
          </w:p>
        </w:tc>
      </w:tr>
      <w:tr w:rsidR="00CF6076" w:rsidRPr="00C943FB" w:rsidTr="00EE3CDC">
        <w:trPr>
          <w:trHeight w:val="300"/>
        </w:trPr>
        <w:tc>
          <w:tcPr>
            <w:cnfStyle w:val="001000000000"/>
            <w:tcW w:w="3085" w:type="dxa"/>
            <w:noWrap/>
            <w:hideMark/>
          </w:tcPr>
          <w:p w:rsidR="00CF6076" w:rsidRPr="00C943FB" w:rsidRDefault="00CF6076" w:rsidP="00982F4E">
            <w:pPr>
              <w:spacing w:before="0" w:after="0" w:line="360" w:lineRule="auto"/>
              <w:jc w:val="left"/>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Digitální gramotnost</w:t>
            </w:r>
          </w:p>
        </w:tc>
        <w:tc>
          <w:tcPr>
            <w:tcW w:w="567" w:type="dxa"/>
            <w:noWrap/>
            <w:hideMark/>
          </w:tcPr>
          <w:p w:rsidR="00CF6076" w:rsidRPr="00C943FB" w:rsidRDefault="00CF6076" w:rsidP="00982F4E">
            <w:pPr>
              <w:spacing w:before="0" w:after="0" w:line="360" w:lineRule="auto"/>
              <w:jc w:val="left"/>
              <w:cnfStyle w:val="0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w:t>
            </w:r>
          </w:p>
        </w:tc>
        <w:tc>
          <w:tcPr>
            <w:tcW w:w="567" w:type="dxa"/>
            <w:noWrap/>
            <w:hideMark/>
          </w:tcPr>
          <w:p w:rsidR="00CF6076" w:rsidRPr="00C943FB" w:rsidRDefault="00CF6076" w:rsidP="00982F4E">
            <w:pPr>
              <w:spacing w:before="0" w:after="0" w:line="360" w:lineRule="auto"/>
              <w:jc w:val="left"/>
              <w:cnfStyle w:val="0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xx</w:t>
            </w:r>
          </w:p>
        </w:tc>
        <w:tc>
          <w:tcPr>
            <w:tcW w:w="567" w:type="dxa"/>
            <w:noWrap/>
            <w:hideMark/>
          </w:tcPr>
          <w:p w:rsidR="00CF6076" w:rsidRPr="00C943FB" w:rsidRDefault="00CF6076" w:rsidP="00982F4E">
            <w:pPr>
              <w:spacing w:before="0" w:after="0" w:line="360" w:lineRule="auto"/>
              <w:jc w:val="left"/>
              <w:cnfStyle w:val="0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w:t>
            </w:r>
          </w:p>
        </w:tc>
        <w:tc>
          <w:tcPr>
            <w:tcW w:w="567" w:type="dxa"/>
            <w:noWrap/>
            <w:hideMark/>
          </w:tcPr>
          <w:p w:rsidR="00CF6076" w:rsidRPr="00C943FB" w:rsidRDefault="00CF6076" w:rsidP="00982F4E">
            <w:pPr>
              <w:spacing w:before="0" w:after="0" w:line="360" w:lineRule="auto"/>
              <w:jc w:val="left"/>
              <w:cnfStyle w:val="0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w:t>
            </w:r>
          </w:p>
        </w:tc>
        <w:tc>
          <w:tcPr>
            <w:tcW w:w="567" w:type="dxa"/>
            <w:noWrap/>
            <w:hideMark/>
          </w:tcPr>
          <w:p w:rsidR="00CF6076" w:rsidRPr="00C943FB" w:rsidRDefault="00CF6076" w:rsidP="00982F4E">
            <w:pPr>
              <w:spacing w:before="0" w:after="0" w:line="360" w:lineRule="auto"/>
              <w:jc w:val="left"/>
              <w:cnfStyle w:val="0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xx</w:t>
            </w:r>
          </w:p>
        </w:tc>
        <w:tc>
          <w:tcPr>
            <w:tcW w:w="567" w:type="dxa"/>
            <w:noWrap/>
            <w:hideMark/>
          </w:tcPr>
          <w:p w:rsidR="00CF6076" w:rsidRPr="00C943FB" w:rsidRDefault="00CF6076" w:rsidP="00982F4E">
            <w:pPr>
              <w:spacing w:before="0" w:after="0" w:line="360" w:lineRule="auto"/>
              <w:jc w:val="left"/>
              <w:cnfStyle w:val="0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xx</w:t>
            </w:r>
          </w:p>
        </w:tc>
        <w:tc>
          <w:tcPr>
            <w:tcW w:w="567" w:type="dxa"/>
            <w:noWrap/>
            <w:hideMark/>
          </w:tcPr>
          <w:p w:rsidR="00CF6076" w:rsidRPr="00C943FB" w:rsidRDefault="00CF6076" w:rsidP="00982F4E">
            <w:pPr>
              <w:spacing w:before="0" w:after="0" w:line="360" w:lineRule="auto"/>
              <w:jc w:val="left"/>
              <w:cnfStyle w:val="0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xxx</w:t>
            </w:r>
          </w:p>
        </w:tc>
        <w:tc>
          <w:tcPr>
            <w:tcW w:w="567" w:type="dxa"/>
            <w:noWrap/>
            <w:hideMark/>
          </w:tcPr>
          <w:p w:rsidR="00CF6076" w:rsidRPr="00C943FB" w:rsidRDefault="00CF6076" w:rsidP="00982F4E">
            <w:pPr>
              <w:spacing w:before="0" w:after="0" w:line="360" w:lineRule="auto"/>
              <w:jc w:val="left"/>
              <w:cnfStyle w:val="0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xx</w:t>
            </w:r>
          </w:p>
        </w:tc>
        <w:tc>
          <w:tcPr>
            <w:tcW w:w="1140" w:type="dxa"/>
            <w:noWrap/>
            <w:hideMark/>
          </w:tcPr>
          <w:p w:rsidR="00CF6076" w:rsidRPr="00C943FB" w:rsidRDefault="00CF6076" w:rsidP="00982F4E">
            <w:pPr>
              <w:spacing w:before="0" w:after="0" w:line="360" w:lineRule="auto"/>
              <w:jc w:val="left"/>
              <w:cnfStyle w:val="000000000000"/>
              <w:rPr>
                <w:rFonts w:ascii="Arial" w:eastAsia="Times New Roman" w:hAnsi="Arial" w:cs="Arial"/>
                <w:b/>
                <w:bCs/>
                <w:color w:val="000000"/>
                <w:sz w:val="20"/>
                <w:szCs w:val="20"/>
                <w:lang w:eastAsia="cs-CZ"/>
              </w:rPr>
            </w:pPr>
            <w:r w:rsidRPr="00C943FB">
              <w:rPr>
                <w:rFonts w:ascii="Arial" w:eastAsia="Times New Roman" w:hAnsi="Arial" w:cs="Arial"/>
                <w:b/>
                <w:bCs/>
                <w:color w:val="000000"/>
                <w:sz w:val="20"/>
                <w:szCs w:val="20"/>
                <w:lang w:eastAsia="cs-CZ"/>
              </w:rPr>
              <w:t>střední</w:t>
            </w:r>
          </w:p>
        </w:tc>
      </w:tr>
      <w:tr w:rsidR="00CF6076" w:rsidRPr="00C943FB" w:rsidTr="00EE3CDC">
        <w:trPr>
          <w:cnfStyle w:val="000000100000"/>
          <w:trHeight w:val="300"/>
        </w:trPr>
        <w:tc>
          <w:tcPr>
            <w:cnfStyle w:val="001000000000"/>
            <w:tcW w:w="3085" w:type="dxa"/>
            <w:noWrap/>
            <w:hideMark/>
          </w:tcPr>
          <w:p w:rsidR="00CF6076" w:rsidRPr="00C943FB" w:rsidRDefault="00CF6076" w:rsidP="00982F4E">
            <w:pPr>
              <w:spacing w:before="0" w:after="0" w:line="360" w:lineRule="auto"/>
              <w:jc w:val="left"/>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IT specialisté</w:t>
            </w:r>
          </w:p>
        </w:tc>
        <w:tc>
          <w:tcPr>
            <w:tcW w:w="567" w:type="dxa"/>
            <w:hideMark/>
          </w:tcPr>
          <w:p w:rsidR="00CF6076" w:rsidRPr="00C943FB" w:rsidRDefault="00CF6076" w:rsidP="00982F4E">
            <w:pPr>
              <w:spacing w:before="0" w:after="0" w:line="360" w:lineRule="auto"/>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xx</w:t>
            </w:r>
          </w:p>
        </w:tc>
        <w:tc>
          <w:tcPr>
            <w:tcW w:w="567" w:type="dxa"/>
            <w:hideMark/>
          </w:tcPr>
          <w:p w:rsidR="00CF6076" w:rsidRPr="00C943FB" w:rsidRDefault="00CF6076" w:rsidP="00982F4E">
            <w:pPr>
              <w:spacing w:before="0" w:after="0" w:line="360" w:lineRule="auto"/>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xxx</w:t>
            </w:r>
          </w:p>
        </w:tc>
        <w:tc>
          <w:tcPr>
            <w:tcW w:w="567" w:type="dxa"/>
            <w:hideMark/>
          </w:tcPr>
          <w:p w:rsidR="00CF6076" w:rsidRPr="00C943FB" w:rsidRDefault="00CF6076" w:rsidP="00982F4E">
            <w:pPr>
              <w:spacing w:before="0" w:after="0" w:line="360" w:lineRule="auto"/>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w:t>
            </w:r>
          </w:p>
        </w:tc>
        <w:tc>
          <w:tcPr>
            <w:tcW w:w="567" w:type="dxa"/>
            <w:hideMark/>
          </w:tcPr>
          <w:p w:rsidR="00CF6076" w:rsidRPr="00C943FB" w:rsidRDefault="00CF6076" w:rsidP="00982F4E">
            <w:pPr>
              <w:spacing w:before="0" w:after="0" w:line="360" w:lineRule="auto"/>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xx</w:t>
            </w:r>
          </w:p>
        </w:tc>
        <w:tc>
          <w:tcPr>
            <w:tcW w:w="567" w:type="dxa"/>
            <w:hideMark/>
          </w:tcPr>
          <w:p w:rsidR="00CF6076" w:rsidRPr="00C943FB" w:rsidRDefault="00CF6076" w:rsidP="00982F4E">
            <w:pPr>
              <w:spacing w:before="0" w:after="0" w:line="360" w:lineRule="auto"/>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o</w:t>
            </w:r>
          </w:p>
        </w:tc>
        <w:tc>
          <w:tcPr>
            <w:tcW w:w="567" w:type="dxa"/>
            <w:hideMark/>
          </w:tcPr>
          <w:p w:rsidR="00CF6076" w:rsidRPr="00C943FB" w:rsidRDefault="00CF6076" w:rsidP="00982F4E">
            <w:pPr>
              <w:spacing w:before="0" w:after="0" w:line="360" w:lineRule="auto"/>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w:t>
            </w:r>
          </w:p>
        </w:tc>
        <w:tc>
          <w:tcPr>
            <w:tcW w:w="567" w:type="dxa"/>
            <w:hideMark/>
          </w:tcPr>
          <w:p w:rsidR="00CF6076" w:rsidRPr="00C943FB" w:rsidRDefault="00CF6076" w:rsidP="00982F4E">
            <w:pPr>
              <w:spacing w:before="0" w:after="0" w:line="360" w:lineRule="auto"/>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xx</w:t>
            </w:r>
          </w:p>
        </w:tc>
        <w:tc>
          <w:tcPr>
            <w:tcW w:w="567" w:type="dxa"/>
            <w:hideMark/>
          </w:tcPr>
          <w:p w:rsidR="00CF6076" w:rsidRPr="00C943FB" w:rsidRDefault="00CF6076" w:rsidP="00982F4E">
            <w:pPr>
              <w:spacing w:before="0" w:after="0" w:line="360" w:lineRule="auto"/>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xx</w:t>
            </w:r>
          </w:p>
        </w:tc>
        <w:tc>
          <w:tcPr>
            <w:tcW w:w="1140" w:type="dxa"/>
            <w:hideMark/>
          </w:tcPr>
          <w:p w:rsidR="00CF6076" w:rsidRPr="00C943FB" w:rsidRDefault="00CF6076" w:rsidP="00982F4E">
            <w:pPr>
              <w:spacing w:before="0" w:after="0" w:line="360" w:lineRule="auto"/>
              <w:jc w:val="left"/>
              <w:cnfStyle w:val="000000100000"/>
              <w:rPr>
                <w:rFonts w:ascii="Arial" w:eastAsia="Times New Roman" w:hAnsi="Arial" w:cs="Arial"/>
                <w:b/>
                <w:bCs/>
                <w:color w:val="000000"/>
                <w:sz w:val="20"/>
                <w:szCs w:val="20"/>
                <w:lang w:eastAsia="cs-CZ"/>
              </w:rPr>
            </w:pPr>
            <w:r w:rsidRPr="00C943FB">
              <w:rPr>
                <w:rFonts w:ascii="Arial" w:eastAsia="Times New Roman" w:hAnsi="Arial" w:cs="Arial"/>
                <w:b/>
                <w:bCs/>
                <w:color w:val="000000"/>
                <w:sz w:val="20"/>
                <w:szCs w:val="20"/>
                <w:lang w:eastAsia="cs-CZ"/>
              </w:rPr>
              <w:t>střední</w:t>
            </w:r>
          </w:p>
        </w:tc>
      </w:tr>
      <w:tr w:rsidR="00CF6076" w:rsidRPr="00C943FB" w:rsidTr="00EE3CDC">
        <w:trPr>
          <w:trHeight w:val="300"/>
        </w:trPr>
        <w:tc>
          <w:tcPr>
            <w:cnfStyle w:val="001000000000"/>
            <w:tcW w:w="3085" w:type="dxa"/>
            <w:noWrap/>
            <w:hideMark/>
          </w:tcPr>
          <w:p w:rsidR="00CF6076" w:rsidRPr="00C943FB" w:rsidRDefault="00CF6076" w:rsidP="00982F4E">
            <w:pPr>
              <w:spacing w:before="0" w:after="0" w:line="360" w:lineRule="auto"/>
              <w:jc w:val="left"/>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Daně a poplatky</w:t>
            </w:r>
          </w:p>
        </w:tc>
        <w:tc>
          <w:tcPr>
            <w:tcW w:w="567" w:type="dxa"/>
            <w:noWrap/>
            <w:hideMark/>
          </w:tcPr>
          <w:p w:rsidR="00CF6076" w:rsidRPr="00C943FB" w:rsidRDefault="00CF6076" w:rsidP="00982F4E">
            <w:pPr>
              <w:spacing w:before="0" w:after="0" w:line="360" w:lineRule="auto"/>
              <w:jc w:val="left"/>
              <w:cnfStyle w:val="0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xx</w:t>
            </w:r>
          </w:p>
        </w:tc>
        <w:tc>
          <w:tcPr>
            <w:tcW w:w="567" w:type="dxa"/>
            <w:noWrap/>
            <w:hideMark/>
          </w:tcPr>
          <w:p w:rsidR="00CF6076" w:rsidRPr="00C943FB" w:rsidRDefault="00CF6076" w:rsidP="00982F4E">
            <w:pPr>
              <w:spacing w:before="0" w:after="0" w:line="360" w:lineRule="auto"/>
              <w:jc w:val="left"/>
              <w:cnfStyle w:val="0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w:t>
            </w:r>
          </w:p>
        </w:tc>
        <w:tc>
          <w:tcPr>
            <w:tcW w:w="567" w:type="dxa"/>
            <w:noWrap/>
            <w:hideMark/>
          </w:tcPr>
          <w:p w:rsidR="00CF6076" w:rsidRPr="00C943FB" w:rsidRDefault="00CF6076" w:rsidP="00982F4E">
            <w:pPr>
              <w:spacing w:before="0" w:after="0" w:line="360" w:lineRule="auto"/>
              <w:jc w:val="left"/>
              <w:cnfStyle w:val="0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o</w:t>
            </w:r>
          </w:p>
        </w:tc>
        <w:tc>
          <w:tcPr>
            <w:tcW w:w="567" w:type="dxa"/>
            <w:noWrap/>
            <w:hideMark/>
          </w:tcPr>
          <w:p w:rsidR="00CF6076" w:rsidRPr="00C943FB" w:rsidRDefault="00CF6076" w:rsidP="00982F4E">
            <w:pPr>
              <w:spacing w:before="0" w:after="0" w:line="360" w:lineRule="auto"/>
              <w:jc w:val="left"/>
              <w:cnfStyle w:val="0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o</w:t>
            </w:r>
          </w:p>
        </w:tc>
        <w:tc>
          <w:tcPr>
            <w:tcW w:w="567" w:type="dxa"/>
            <w:noWrap/>
            <w:hideMark/>
          </w:tcPr>
          <w:p w:rsidR="00CF6076" w:rsidRPr="00C943FB" w:rsidRDefault="00CF6076" w:rsidP="00982F4E">
            <w:pPr>
              <w:spacing w:before="0" w:after="0" w:line="360" w:lineRule="auto"/>
              <w:jc w:val="left"/>
              <w:cnfStyle w:val="0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o</w:t>
            </w:r>
          </w:p>
        </w:tc>
        <w:tc>
          <w:tcPr>
            <w:tcW w:w="567" w:type="dxa"/>
            <w:noWrap/>
            <w:hideMark/>
          </w:tcPr>
          <w:p w:rsidR="00CF6076" w:rsidRPr="00C943FB" w:rsidRDefault="00CF6076" w:rsidP="00982F4E">
            <w:pPr>
              <w:spacing w:before="0" w:after="0" w:line="360" w:lineRule="auto"/>
              <w:jc w:val="left"/>
              <w:cnfStyle w:val="0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xx</w:t>
            </w:r>
          </w:p>
        </w:tc>
        <w:tc>
          <w:tcPr>
            <w:tcW w:w="567" w:type="dxa"/>
            <w:noWrap/>
            <w:hideMark/>
          </w:tcPr>
          <w:p w:rsidR="00CF6076" w:rsidRPr="00C943FB" w:rsidRDefault="00CF6076" w:rsidP="00982F4E">
            <w:pPr>
              <w:spacing w:before="0" w:after="0" w:line="360" w:lineRule="auto"/>
              <w:jc w:val="left"/>
              <w:cnfStyle w:val="0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w:t>
            </w:r>
          </w:p>
        </w:tc>
        <w:tc>
          <w:tcPr>
            <w:tcW w:w="567" w:type="dxa"/>
            <w:noWrap/>
            <w:hideMark/>
          </w:tcPr>
          <w:p w:rsidR="00CF6076" w:rsidRPr="00C943FB" w:rsidRDefault="00CF6076" w:rsidP="00982F4E">
            <w:pPr>
              <w:spacing w:before="0" w:after="0" w:line="360" w:lineRule="auto"/>
              <w:jc w:val="left"/>
              <w:cnfStyle w:val="0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xxx</w:t>
            </w:r>
          </w:p>
        </w:tc>
        <w:tc>
          <w:tcPr>
            <w:tcW w:w="1140" w:type="dxa"/>
            <w:noWrap/>
            <w:hideMark/>
          </w:tcPr>
          <w:p w:rsidR="00CF6076" w:rsidRPr="00C943FB" w:rsidRDefault="00CF6076" w:rsidP="00982F4E">
            <w:pPr>
              <w:spacing w:before="0" w:after="0" w:line="360" w:lineRule="auto"/>
              <w:jc w:val="left"/>
              <w:cnfStyle w:val="000000000000"/>
              <w:rPr>
                <w:rFonts w:ascii="Arial" w:eastAsia="Times New Roman" w:hAnsi="Arial" w:cs="Arial"/>
                <w:b/>
                <w:bCs/>
                <w:color w:val="000000"/>
                <w:sz w:val="20"/>
                <w:szCs w:val="20"/>
                <w:lang w:eastAsia="cs-CZ"/>
              </w:rPr>
            </w:pPr>
            <w:r w:rsidRPr="00C943FB">
              <w:rPr>
                <w:rFonts w:ascii="Arial" w:eastAsia="Times New Roman" w:hAnsi="Arial" w:cs="Arial"/>
                <w:b/>
                <w:bCs/>
                <w:color w:val="000000"/>
                <w:sz w:val="20"/>
                <w:szCs w:val="20"/>
                <w:lang w:eastAsia="cs-CZ"/>
              </w:rPr>
              <w:t>střední</w:t>
            </w:r>
          </w:p>
        </w:tc>
      </w:tr>
      <w:tr w:rsidR="00CF6076" w:rsidRPr="00C943FB" w:rsidTr="00EE3CDC">
        <w:trPr>
          <w:cnfStyle w:val="000000100000"/>
          <w:trHeight w:val="300"/>
        </w:trPr>
        <w:tc>
          <w:tcPr>
            <w:cnfStyle w:val="001000000000"/>
            <w:tcW w:w="3085" w:type="dxa"/>
            <w:noWrap/>
            <w:hideMark/>
          </w:tcPr>
          <w:p w:rsidR="00CF6076" w:rsidRPr="00C943FB" w:rsidRDefault="00CF6076" w:rsidP="00982F4E">
            <w:pPr>
              <w:spacing w:before="0" w:after="0" w:line="360" w:lineRule="auto"/>
              <w:jc w:val="left"/>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e-Government</w:t>
            </w:r>
          </w:p>
        </w:tc>
        <w:tc>
          <w:tcPr>
            <w:tcW w:w="567" w:type="dxa"/>
            <w:noWrap/>
            <w:hideMark/>
          </w:tcPr>
          <w:p w:rsidR="00CF6076" w:rsidRPr="00C943FB" w:rsidRDefault="00CF6076" w:rsidP="00982F4E">
            <w:pPr>
              <w:spacing w:before="0" w:after="0" w:line="360" w:lineRule="auto"/>
              <w:jc w:val="left"/>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o</w:t>
            </w:r>
          </w:p>
        </w:tc>
        <w:tc>
          <w:tcPr>
            <w:tcW w:w="567" w:type="dxa"/>
            <w:noWrap/>
            <w:hideMark/>
          </w:tcPr>
          <w:p w:rsidR="00CF6076" w:rsidRPr="00C943FB" w:rsidRDefault="00CF6076" w:rsidP="00982F4E">
            <w:pPr>
              <w:spacing w:before="0" w:after="0" w:line="360" w:lineRule="auto"/>
              <w:jc w:val="left"/>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xx</w:t>
            </w:r>
          </w:p>
        </w:tc>
        <w:tc>
          <w:tcPr>
            <w:tcW w:w="567" w:type="dxa"/>
            <w:noWrap/>
            <w:hideMark/>
          </w:tcPr>
          <w:p w:rsidR="00CF6076" w:rsidRPr="00C943FB" w:rsidRDefault="00CF6076" w:rsidP="00982F4E">
            <w:pPr>
              <w:spacing w:before="0" w:after="0" w:line="360" w:lineRule="auto"/>
              <w:jc w:val="left"/>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o</w:t>
            </w:r>
          </w:p>
        </w:tc>
        <w:tc>
          <w:tcPr>
            <w:tcW w:w="567" w:type="dxa"/>
            <w:noWrap/>
            <w:hideMark/>
          </w:tcPr>
          <w:p w:rsidR="00CF6076" w:rsidRPr="00C943FB" w:rsidRDefault="00CF6076" w:rsidP="00982F4E">
            <w:pPr>
              <w:spacing w:before="0" w:after="0" w:line="360" w:lineRule="auto"/>
              <w:jc w:val="left"/>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xx</w:t>
            </w:r>
          </w:p>
        </w:tc>
        <w:tc>
          <w:tcPr>
            <w:tcW w:w="567" w:type="dxa"/>
            <w:noWrap/>
            <w:hideMark/>
          </w:tcPr>
          <w:p w:rsidR="00CF6076" w:rsidRPr="00C943FB" w:rsidRDefault="00CF6076" w:rsidP="00982F4E">
            <w:pPr>
              <w:spacing w:before="0" w:after="0" w:line="360" w:lineRule="auto"/>
              <w:jc w:val="left"/>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xx</w:t>
            </w:r>
          </w:p>
        </w:tc>
        <w:tc>
          <w:tcPr>
            <w:tcW w:w="567" w:type="dxa"/>
            <w:noWrap/>
            <w:hideMark/>
          </w:tcPr>
          <w:p w:rsidR="00CF6076" w:rsidRPr="00C943FB" w:rsidRDefault="00CF6076" w:rsidP="00982F4E">
            <w:pPr>
              <w:spacing w:before="0" w:after="0" w:line="360" w:lineRule="auto"/>
              <w:jc w:val="left"/>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w:t>
            </w:r>
          </w:p>
        </w:tc>
        <w:tc>
          <w:tcPr>
            <w:tcW w:w="567" w:type="dxa"/>
            <w:noWrap/>
            <w:hideMark/>
          </w:tcPr>
          <w:p w:rsidR="00CF6076" w:rsidRPr="00C943FB" w:rsidRDefault="00CF6076" w:rsidP="00982F4E">
            <w:pPr>
              <w:spacing w:before="0" w:after="0" w:line="360" w:lineRule="auto"/>
              <w:jc w:val="left"/>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o</w:t>
            </w:r>
          </w:p>
        </w:tc>
        <w:tc>
          <w:tcPr>
            <w:tcW w:w="567" w:type="dxa"/>
            <w:noWrap/>
            <w:hideMark/>
          </w:tcPr>
          <w:p w:rsidR="00CF6076" w:rsidRPr="00C943FB" w:rsidRDefault="00CF6076" w:rsidP="00982F4E">
            <w:pPr>
              <w:spacing w:before="0" w:after="0" w:line="360" w:lineRule="auto"/>
              <w:jc w:val="left"/>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w:t>
            </w:r>
          </w:p>
        </w:tc>
        <w:tc>
          <w:tcPr>
            <w:tcW w:w="1140" w:type="dxa"/>
            <w:noWrap/>
            <w:hideMark/>
          </w:tcPr>
          <w:p w:rsidR="00CF6076" w:rsidRPr="00C943FB" w:rsidRDefault="00CF6076" w:rsidP="00982F4E">
            <w:pPr>
              <w:spacing w:before="0" w:after="0" w:line="360" w:lineRule="auto"/>
              <w:jc w:val="left"/>
              <w:cnfStyle w:val="000000100000"/>
              <w:rPr>
                <w:rFonts w:ascii="Arial" w:eastAsia="Times New Roman" w:hAnsi="Arial" w:cs="Arial"/>
                <w:b/>
                <w:bCs/>
                <w:color w:val="000000"/>
                <w:sz w:val="20"/>
                <w:szCs w:val="20"/>
                <w:lang w:eastAsia="cs-CZ"/>
              </w:rPr>
            </w:pPr>
            <w:r w:rsidRPr="00C943FB">
              <w:rPr>
                <w:rFonts w:ascii="Arial" w:eastAsia="Times New Roman" w:hAnsi="Arial" w:cs="Arial"/>
                <w:b/>
                <w:bCs/>
                <w:color w:val="000000"/>
                <w:sz w:val="20"/>
                <w:szCs w:val="20"/>
                <w:lang w:eastAsia="cs-CZ"/>
              </w:rPr>
              <w:t>nízká</w:t>
            </w:r>
          </w:p>
        </w:tc>
      </w:tr>
      <w:tr w:rsidR="00CF6076" w:rsidRPr="00C943FB" w:rsidTr="00EE3CDC">
        <w:trPr>
          <w:trHeight w:val="300"/>
        </w:trPr>
        <w:tc>
          <w:tcPr>
            <w:cnfStyle w:val="001000000000"/>
            <w:tcW w:w="3085" w:type="dxa"/>
            <w:noWrap/>
            <w:hideMark/>
          </w:tcPr>
          <w:p w:rsidR="00CF6076" w:rsidRPr="00C943FB" w:rsidRDefault="00CF6076" w:rsidP="00982F4E">
            <w:pPr>
              <w:spacing w:before="0" w:after="0" w:line="360" w:lineRule="auto"/>
              <w:jc w:val="left"/>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Vymahatelnost práva</w:t>
            </w:r>
          </w:p>
        </w:tc>
        <w:tc>
          <w:tcPr>
            <w:tcW w:w="567" w:type="dxa"/>
            <w:noWrap/>
            <w:hideMark/>
          </w:tcPr>
          <w:p w:rsidR="00CF6076" w:rsidRPr="00C943FB" w:rsidRDefault="00CF6076" w:rsidP="00982F4E">
            <w:pPr>
              <w:spacing w:before="0" w:after="0" w:line="360" w:lineRule="auto"/>
              <w:jc w:val="left"/>
              <w:cnfStyle w:val="0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o</w:t>
            </w:r>
          </w:p>
        </w:tc>
        <w:tc>
          <w:tcPr>
            <w:tcW w:w="567" w:type="dxa"/>
            <w:noWrap/>
            <w:hideMark/>
          </w:tcPr>
          <w:p w:rsidR="00CF6076" w:rsidRPr="00C943FB" w:rsidRDefault="00CF6076" w:rsidP="00982F4E">
            <w:pPr>
              <w:spacing w:before="0" w:after="0" w:line="360" w:lineRule="auto"/>
              <w:jc w:val="left"/>
              <w:cnfStyle w:val="0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o</w:t>
            </w:r>
          </w:p>
        </w:tc>
        <w:tc>
          <w:tcPr>
            <w:tcW w:w="567" w:type="dxa"/>
            <w:noWrap/>
            <w:hideMark/>
          </w:tcPr>
          <w:p w:rsidR="00CF6076" w:rsidRPr="00C943FB" w:rsidRDefault="00CF6076" w:rsidP="00982F4E">
            <w:pPr>
              <w:spacing w:before="0" w:after="0" w:line="360" w:lineRule="auto"/>
              <w:jc w:val="left"/>
              <w:cnfStyle w:val="0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o</w:t>
            </w:r>
          </w:p>
        </w:tc>
        <w:tc>
          <w:tcPr>
            <w:tcW w:w="567" w:type="dxa"/>
            <w:noWrap/>
            <w:hideMark/>
          </w:tcPr>
          <w:p w:rsidR="00CF6076" w:rsidRPr="00C943FB" w:rsidRDefault="00CF6076" w:rsidP="00982F4E">
            <w:pPr>
              <w:spacing w:before="0" w:after="0" w:line="360" w:lineRule="auto"/>
              <w:jc w:val="left"/>
              <w:cnfStyle w:val="0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xx</w:t>
            </w:r>
          </w:p>
        </w:tc>
        <w:tc>
          <w:tcPr>
            <w:tcW w:w="567" w:type="dxa"/>
            <w:noWrap/>
            <w:hideMark/>
          </w:tcPr>
          <w:p w:rsidR="00CF6076" w:rsidRPr="00C943FB" w:rsidRDefault="00CF6076" w:rsidP="00982F4E">
            <w:pPr>
              <w:spacing w:before="0" w:after="0" w:line="360" w:lineRule="auto"/>
              <w:jc w:val="left"/>
              <w:cnfStyle w:val="0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w:t>
            </w:r>
          </w:p>
        </w:tc>
        <w:tc>
          <w:tcPr>
            <w:tcW w:w="567" w:type="dxa"/>
            <w:noWrap/>
            <w:hideMark/>
          </w:tcPr>
          <w:p w:rsidR="00CF6076" w:rsidRPr="00C943FB" w:rsidRDefault="00CF6076" w:rsidP="00982F4E">
            <w:pPr>
              <w:spacing w:before="0" w:after="0" w:line="360" w:lineRule="auto"/>
              <w:jc w:val="left"/>
              <w:cnfStyle w:val="0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xx</w:t>
            </w:r>
          </w:p>
        </w:tc>
        <w:tc>
          <w:tcPr>
            <w:tcW w:w="567" w:type="dxa"/>
            <w:noWrap/>
            <w:hideMark/>
          </w:tcPr>
          <w:p w:rsidR="00CF6076" w:rsidRPr="00C943FB" w:rsidRDefault="00CF6076" w:rsidP="00982F4E">
            <w:pPr>
              <w:spacing w:before="0" w:after="0" w:line="360" w:lineRule="auto"/>
              <w:jc w:val="left"/>
              <w:cnfStyle w:val="0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xx</w:t>
            </w:r>
          </w:p>
        </w:tc>
        <w:tc>
          <w:tcPr>
            <w:tcW w:w="567" w:type="dxa"/>
            <w:noWrap/>
            <w:hideMark/>
          </w:tcPr>
          <w:p w:rsidR="00CF6076" w:rsidRPr="00C943FB" w:rsidRDefault="00CF6076" w:rsidP="00982F4E">
            <w:pPr>
              <w:spacing w:before="0" w:after="0" w:line="360" w:lineRule="auto"/>
              <w:jc w:val="left"/>
              <w:cnfStyle w:val="0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w:t>
            </w:r>
          </w:p>
        </w:tc>
        <w:tc>
          <w:tcPr>
            <w:tcW w:w="1140" w:type="dxa"/>
            <w:noWrap/>
            <w:hideMark/>
          </w:tcPr>
          <w:p w:rsidR="00CF6076" w:rsidRPr="00C943FB" w:rsidRDefault="00CF6076" w:rsidP="00982F4E">
            <w:pPr>
              <w:spacing w:before="0" w:after="0" w:line="360" w:lineRule="auto"/>
              <w:jc w:val="left"/>
              <w:cnfStyle w:val="000000000000"/>
              <w:rPr>
                <w:rFonts w:ascii="Arial" w:eastAsia="Times New Roman" w:hAnsi="Arial" w:cs="Arial"/>
                <w:b/>
                <w:bCs/>
                <w:color w:val="000000"/>
                <w:sz w:val="20"/>
                <w:szCs w:val="20"/>
                <w:lang w:eastAsia="cs-CZ"/>
              </w:rPr>
            </w:pPr>
            <w:r w:rsidRPr="00C943FB">
              <w:rPr>
                <w:rFonts w:ascii="Arial" w:eastAsia="Times New Roman" w:hAnsi="Arial" w:cs="Arial"/>
                <w:b/>
                <w:bCs/>
                <w:color w:val="000000"/>
                <w:sz w:val="20"/>
                <w:szCs w:val="20"/>
                <w:lang w:eastAsia="cs-CZ"/>
              </w:rPr>
              <w:t>nízká</w:t>
            </w:r>
          </w:p>
        </w:tc>
      </w:tr>
      <w:tr w:rsidR="00CF6076" w:rsidRPr="00C943FB" w:rsidTr="00EE3CDC">
        <w:trPr>
          <w:cnfStyle w:val="000000100000"/>
          <w:trHeight w:val="300"/>
        </w:trPr>
        <w:tc>
          <w:tcPr>
            <w:cnfStyle w:val="001000000000"/>
            <w:tcW w:w="3085" w:type="dxa"/>
            <w:noWrap/>
            <w:hideMark/>
          </w:tcPr>
          <w:p w:rsidR="00CF6076" w:rsidRPr="00C943FB" w:rsidRDefault="00CF6076" w:rsidP="00982F4E">
            <w:pPr>
              <w:spacing w:before="0" w:after="0" w:line="360" w:lineRule="auto"/>
              <w:jc w:val="left"/>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Kyberbezpečnost</w:t>
            </w:r>
          </w:p>
        </w:tc>
        <w:tc>
          <w:tcPr>
            <w:tcW w:w="567" w:type="dxa"/>
            <w:hideMark/>
          </w:tcPr>
          <w:p w:rsidR="00CF6076" w:rsidRPr="00C943FB" w:rsidRDefault="00CF6076" w:rsidP="00982F4E">
            <w:pPr>
              <w:spacing w:before="0" w:after="0" w:line="360" w:lineRule="auto"/>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o</w:t>
            </w:r>
          </w:p>
        </w:tc>
        <w:tc>
          <w:tcPr>
            <w:tcW w:w="567" w:type="dxa"/>
            <w:hideMark/>
          </w:tcPr>
          <w:p w:rsidR="00CF6076" w:rsidRPr="00C943FB" w:rsidRDefault="00CF6076" w:rsidP="00982F4E">
            <w:pPr>
              <w:spacing w:before="0" w:after="0" w:line="360" w:lineRule="auto"/>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o</w:t>
            </w:r>
          </w:p>
        </w:tc>
        <w:tc>
          <w:tcPr>
            <w:tcW w:w="567" w:type="dxa"/>
            <w:hideMark/>
          </w:tcPr>
          <w:p w:rsidR="00CF6076" w:rsidRPr="00C943FB" w:rsidRDefault="00CF6076" w:rsidP="00982F4E">
            <w:pPr>
              <w:spacing w:before="0" w:after="0" w:line="360" w:lineRule="auto"/>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o</w:t>
            </w:r>
          </w:p>
        </w:tc>
        <w:tc>
          <w:tcPr>
            <w:tcW w:w="567" w:type="dxa"/>
            <w:hideMark/>
          </w:tcPr>
          <w:p w:rsidR="00CF6076" w:rsidRPr="00C943FB" w:rsidRDefault="00CF6076" w:rsidP="00982F4E">
            <w:pPr>
              <w:spacing w:before="0" w:after="0" w:line="360" w:lineRule="auto"/>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o</w:t>
            </w:r>
          </w:p>
        </w:tc>
        <w:tc>
          <w:tcPr>
            <w:tcW w:w="567" w:type="dxa"/>
            <w:hideMark/>
          </w:tcPr>
          <w:p w:rsidR="00CF6076" w:rsidRPr="00C943FB" w:rsidRDefault="00CF6076" w:rsidP="00982F4E">
            <w:pPr>
              <w:spacing w:before="0" w:after="0" w:line="360" w:lineRule="auto"/>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o</w:t>
            </w:r>
          </w:p>
        </w:tc>
        <w:tc>
          <w:tcPr>
            <w:tcW w:w="567" w:type="dxa"/>
            <w:hideMark/>
          </w:tcPr>
          <w:p w:rsidR="00CF6076" w:rsidRPr="00C943FB" w:rsidRDefault="00CF6076" w:rsidP="00982F4E">
            <w:pPr>
              <w:spacing w:before="0" w:after="0" w:line="360" w:lineRule="auto"/>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xxx</w:t>
            </w:r>
          </w:p>
        </w:tc>
        <w:tc>
          <w:tcPr>
            <w:tcW w:w="567" w:type="dxa"/>
            <w:hideMark/>
          </w:tcPr>
          <w:p w:rsidR="00CF6076" w:rsidRPr="00C943FB" w:rsidRDefault="00CF6076" w:rsidP="00982F4E">
            <w:pPr>
              <w:spacing w:before="0" w:after="0" w:line="360" w:lineRule="auto"/>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xxx</w:t>
            </w:r>
          </w:p>
        </w:tc>
        <w:tc>
          <w:tcPr>
            <w:tcW w:w="567" w:type="dxa"/>
            <w:hideMark/>
          </w:tcPr>
          <w:p w:rsidR="00CF6076" w:rsidRPr="00C943FB" w:rsidRDefault="00CF6076" w:rsidP="00982F4E">
            <w:pPr>
              <w:spacing w:before="0" w:after="0" w:line="360" w:lineRule="auto"/>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xx</w:t>
            </w:r>
          </w:p>
        </w:tc>
        <w:tc>
          <w:tcPr>
            <w:tcW w:w="1140" w:type="dxa"/>
            <w:hideMark/>
          </w:tcPr>
          <w:p w:rsidR="00CF6076" w:rsidRPr="00C943FB" w:rsidRDefault="00CF6076" w:rsidP="00982F4E">
            <w:pPr>
              <w:spacing w:before="0" w:after="0" w:line="360" w:lineRule="auto"/>
              <w:jc w:val="left"/>
              <w:cnfStyle w:val="000000100000"/>
              <w:rPr>
                <w:rFonts w:ascii="Arial" w:eastAsia="Times New Roman" w:hAnsi="Arial" w:cs="Arial"/>
                <w:b/>
                <w:bCs/>
                <w:color w:val="000000"/>
                <w:sz w:val="20"/>
                <w:szCs w:val="20"/>
                <w:lang w:eastAsia="cs-CZ"/>
              </w:rPr>
            </w:pPr>
            <w:r w:rsidRPr="00C943FB">
              <w:rPr>
                <w:rFonts w:ascii="Arial" w:eastAsia="Times New Roman" w:hAnsi="Arial" w:cs="Arial"/>
                <w:b/>
                <w:bCs/>
                <w:color w:val="000000"/>
                <w:sz w:val="20"/>
                <w:szCs w:val="20"/>
                <w:lang w:eastAsia="cs-CZ"/>
              </w:rPr>
              <w:t>nízká</w:t>
            </w:r>
          </w:p>
        </w:tc>
      </w:tr>
      <w:tr w:rsidR="00CF6076" w:rsidRPr="00C943FB" w:rsidTr="00EE3CDC">
        <w:trPr>
          <w:trHeight w:val="300"/>
        </w:trPr>
        <w:tc>
          <w:tcPr>
            <w:cnfStyle w:val="001000000000"/>
            <w:tcW w:w="3085" w:type="dxa"/>
            <w:noWrap/>
            <w:hideMark/>
          </w:tcPr>
          <w:p w:rsidR="00CF6076" w:rsidRPr="00C943FB" w:rsidRDefault="00CF6076" w:rsidP="00982F4E">
            <w:pPr>
              <w:spacing w:before="0" w:after="0" w:line="360" w:lineRule="auto"/>
              <w:jc w:val="left"/>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Kvalifikovaní uživatelé a lídři</w:t>
            </w:r>
          </w:p>
        </w:tc>
        <w:tc>
          <w:tcPr>
            <w:tcW w:w="567" w:type="dxa"/>
            <w:noWrap/>
            <w:hideMark/>
          </w:tcPr>
          <w:p w:rsidR="00CF6076" w:rsidRPr="00C943FB" w:rsidRDefault="00CF6076" w:rsidP="00982F4E">
            <w:pPr>
              <w:spacing w:before="0" w:after="0" w:line="360" w:lineRule="auto"/>
              <w:jc w:val="left"/>
              <w:cnfStyle w:val="0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w:t>
            </w:r>
          </w:p>
        </w:tc>
        <w:tc>
          <w:tcPr>
            <w:tcW w:w="567" w:type="dxa"/>
            <w:noWrap/>
            <w:hideMark/>
          </w:tcPr>
          <w:p w:rsidR="00CF6076" w:rsidRPr="00C943FB" w:rsidRDefault="00CF6076" w:rsidP="00982F4E">
            <w:pPr>
              <w:spacing w:before="0" w:after="0" w:line="360" w:lineRule="auto"/>
              <w:jc w:val="left"/>
              <w:cnfStyle w:val="0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o</w:t>
            </w:r>
          </w:p>
        </w:tc>
        <w:tc>
          <w:tcPr>
            <w:tcW w:w="567" w:type="dxa"/>
            <w:noWrap/>
            <w:hideMark/>
          </w:tcPr>
          <w:p w:rsidR="00CF6076" w:rsidRPr="00C943FB" w:rsidRDefault="00CF6076" w:rsidP="00982F4E">
            <w:pPr>
              <w:spacing w:before="0" w:after="0" w:line="360" w:lineRule="auto"/>
              <w:jc w:val="left"/>
              <w:cnfStyle w:val="0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xxx</w:t>
            </w:r>
          </w:p>
        </w:tc>
        <w:tc>
          <w:tcPr>
            <w:tcW w:w="567" w:type="dxa"/>
            <w:noWrap/>
            <w:hideMark/>
          </w:tcPr>
          <w:p w:rsidR="00CF6076" w:rsidRPr="00C943FB" w:rsidRDefault="00CF6076" w:rsidP="00982F4E">
            <w:pPr>
              <w:spacing w:before="0" w:after="0" w:line="360" w:lineRule="auto"/>
              <w:jc w:val="left"/>
              <w:cnfStyle w:val="0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o</w:t>
            </w:r>
          </w:p>
        </w:tc>
        <w:tc>
          <w:tcPr>
            <w:tcW w:w="567" w:type="dxa"/>
            <w:noWrap/>
            <w:hideMark/>
          </w:tcPr>
          <w:p w:rsidR="00CF6076" w:rsidRPr="00C943FB" w:rsidRDefault="00CF6076" w:rsidP="00982F4E">
            <w:pPr>
              <w:spacing w:before="0" w:after="0" w:line="360" w:lineRule="auto"/>
              <w:jc w:val="left"/>
              <w:cnfStyle w:val="0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xx</w:t>
            </w:r>
          </w:p>
        </w:tc>
        <w:tc>
          <w:tcPr>
            <w:tcW w:w="567" w:type="dxa"/>
            <w:noWrap/>
            <w:hideMark/>
          </w:tcPr>
          <w:p w:rsidR="00CF6076" w:rsidRPr="00C943FB" w:rsidRDefault="00CF6076" w:rsidP="00982F4E">
            <w:pPr>
              <w:spacing w:before="0" w:after="0" w:line="360" w:lineRule="auto"/>
              <w:jc w:val="left"/>
              <w:cnfStyle w:val="0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o</w:t>
            </w:r>
          </w:p>
        </w:tc>
        <w:tc>
          <w:tcPr>
            <w:tcW w:w="567" w:type="dxa"/>
            <w:noWrap/>
            <w:hideMark/>
          </w:tcPr>
          <w:p w:rsidR="00CF6076" w:rsidRPr="00C943FB" w:rsidRDefault="00CF6076" w:rsidP="00982F4E">
            <w:pPr>
              <w:spacing w:before="0" w:after="0" w:line="360" w:lineRule="auto"/>
              <w:jc w:val="left"/>
              <w:cnfStyle w:val="0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xx</w:t>
            </w:r>
          </w:p>
        </w:tc>
        <w:tc>
          <w:tcPr>
            <w:tcW w:w="567" w:type="dxa"/>
            <w:noWrap/>
            <w:hideMark/>
          </w:tcPr>
          <w:p w:rsidR="00CF6076" w:rsidRPr="00C943FB" w:rsidRDefault="00CF6076" w:rsidP="00982F4E">
            <w:pPr>
              <w:spacing w:before="0" w:after="0" w:line="360" w:lineRule="auto"/>
              <w:jc w:val="left"/>
              <w:cnfStyle w:val="0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o</w:t>
            </w:r>
          </w:p>
        </w:tc>
        <w:tc>
          <w:tcPr>
            <w:tcW w:w="1140" w:type="dxa"/>
            <w:noWrap/>
            <w:hideMark/>
          </w:tcPr>
          <w:p w:rsidR="00CF6076" w:rsidRPr="00C943FB" w:rsidRDefault="00CF6076" w:rsidP="00982F4E">
            <w:pPr>
              <w:spacing w:before="0" w:after="0" w:line="360" w:lineRule="auto"/>
              <w:jc w:val="left"/>
              <w:cnfStyle w:val="000000000000"/>
              <w:rPr>
                <w:rFonts w:ascii="Arial" w:eastAsia="Times New Roman" w:hAnsi="Arial" w:cs="Arial"/>
                <w:b/>
                <w:bCs/>
                <w:color w:val="000000"/>
                <w:sz w:val="20"/>
                <w:szCs w:val="20"/>
                <w:lang w:eastAsia="cs-CZ"/>
              </w:rPr>
            </w:pPr>
            <w:r w:rsidRPr="00C943FB">
              <w:rPr>
                <w:rFonts w:ascii="Arial" w:eastAsia="Times New Roman" w:hAnsi="Arial" w:cs="Arial"/>
                <w:b/>
                <w:bCs/>
                <w:color w:val="000000"/>
                <w:sz w:val="20"/>
                <w:szCs w:val="20"/>
                <w:lang w:eastAsia="cs-CZ"/>
              </w:rPr>
              <w:t>nízká</w:t>
            </w:r>
          </w:p>
        </w:tc>
      </w:tr>
      <w:tr w:rsidR="00CF6076" w:rsidRPr="00C943FB" w:rsidTr="00EE3CDC">
        <w:trPr>
          <w:cnfStyle w:val="000000100000"/>
          <w:trHeight w:val="300"/>
        </w:trPr>
        <w:tc>
          <w:tcPr>
            <w:cnfStyle w:val="001000000000"/>
            <w:tcW w:w="3085" w:type="dxa"/>
            <w:noWrap/>
            <w:hideMark/>
          </w:tcPr>
          <w:p w:rsidR="00CF6076" w:rsidRPr="00C943FB" w:rsidRDefault="00CF6076" w:rsidP="00982F4E">
            <w:pPr>
              <w:spacing w:before="0" w:after="0" w:line="360" w:lineRule="auto"/>
              <w:jc w:val="left"/>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Infrastruktura</w:t>
            </w:r>
          </w:p>
        </w:tc>
        <w:tc>
          <w:tcPr>
            <w:tcW w:w="567" w:type="dxa"/>
            <w:hideMark/>
          </w:tcPr>
          <w:p w:rsidR="00CF6076" w:rsidRPr="00C943FB" w:rsidRDefault="00CF6076" w:rsidP="00982F4E">
            <w:pPr>
              <w:spacing w:before="0" w:after="0" w:line="360" w:lineRule="auto"/>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o</w:t>
            </w:r>
          </w:p>
        </w:tc>
        <w:tc>
          <w:tcPr>
            <w:tcW w:w="567" w:type="dxa"/>
            <w:hideMark/>
          </w:tcPr>
          <w:p w:rsidR="00CF6076" w:rsidRPr="00C943FB" w:rsidRDefault="00CF6076" w:rsidP="00982F4E">
            <w:pPr>
              <w:spacing w:before="0" w:after="0" w:line="360" w:lineRule="auto"/>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xx</w:t>
            </w:r>
          </w:p>
        </w:tc>
        <w:tc>
          <w:tcPr>
            <w:tcW w:w="567" w:type="dxa"/>
            <w:hideMark/>
          </w:tcPr>
          <w:p w:rsidR="00CF6076" w:rsidRPr="00C943FB" w:rsidRDefault="00CF6076" w:rsidP="00982F4E">
            <w:pPr>
              <w:spacing w:before="0" w:after="0" w:line="360" w:lineRule="auto"/>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o</w:t>
            </w:r>
          </w:p>
        </w:tc>
        <w:tc>
          <w:tcPr>
            <w:tcW w:w="567" w:type="dxa"/>
            <w:hideMark/>
          </w:tcPr>
          <w:p w:rsidR="00CF6076" w:rsidRPr="00C943FB" w:rsidRDefault="00CF6076" w:rsidP="00982F4E">
            <w:pPr>
              <w:spacing w:before="0" w:after="0" w:line="360" w:lineRule="auto"/>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w:t>
            </w:r>
          </w:p>
        </w:tc>
        <w:tc>
          <w:tcPr>
            <w:tcW w:w="567" w:type="dxa"/>
            <w:hideMark/>
          </w:tcPr>
          <w:p w:rsidR="00CF6076" w:rsidRPr="00C943FB" w:rsidRDefault="00CF6076" w:rsidP="00982F4E">
            <w:pPr>
              <w:spacing w:before="0" w:after="0" w:line="360" w:lineRule="auto"/>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o</w:t>
            </w:r>
          </w:p>
        </w:tc>
        <w:tc>
          <w:tcPr>
            <w:tcW w:w="567" w:type="dxa"/>
            <w:hideMark/>
          </w:tcPr>
          <w:p w:rsidR="00CF6076" w:rsidRPr="00C943FB" w:rsidRDefault="00CF6076" w:rsidP="00982F4E">
            <w:pPr>
              <w:spacing w:before="0" w:after="0" w:line="360" w:lineRule="auto"/>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w:t>
            </w:r>
          </w:p>
        </w:tc>
        <w:tc>
          <w:tcPr>
            <w:tcW w:w="567" w:type="dxa"/>
            <w:hideMark/>
          </w:tcPr>
          <w:p w:rsidR="00CF6076" w:rsidRPr="00C943FB" w:rsidRDefault="00CF6076" w:rsidP="00982F4E">
            <w:pPr>
              <w:spacing w:before="0" w:after="0" w:line="360" w:lineRule="auto"/>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xx</w:t>
            </w:r>
          </w:p>
        </w:tc>
        <w:tc>
          <w:tcPr>
            <w:tcW w:w="567" w:type="dxa"/>
            <w:hideMark/>
          </w:tcPr>
          <w:p w:rsidR="00CF6076" w:rsidRPr="00C943FB" w:rsidRDefault="00CF6076" w:rsidP="00982F4E">
            <w:pPr>
              <w:spacing w:before="0" w:after="0" w:line="360" w:lineRule="auto"/>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o</w:t>
            </w:r>
          </w:p>
        </w:tc>
        <w:tc>
          <w:tcPr>
            <w:tcW w:w="1140" w:type="dxa"/>
            <w:hideMark/>
          </w:tcPr>
          <w:p w:rsidR="00CF6076" w:rsidRPr="00C943FB" w:rsidRDefault="00CF6076" w:rsidP="00982F4E">
            <w:pPr>
              <w:spacing w:before="0" w:after="0" w:line="360" w:lineRule="auto"/>
              <w:jc w:val="left"/>
              <w:cnfStyle w:val="000000100000"/>
              <w:rPr>
                <w:rFonts w:ascii="Arial" w:eastAsia="Times New Roman" w:hAnsi="Arial" w:cs="Arial"/>
                <w:b/>
                <w:bCs/>
                <w:color w:val="000000"/>
                <w:sz w:val="20"/>
                <w:szCs w:val="20"/>
                <w:lang w:eastAsia="cs-CZ"/>
              </w:rPr>
            </w:pPr>
            <w:r w:rsidRPr="00C943FB">
              <w:rPr>
                <w:rFonts w:ascii="Arial" w:eastAsia="Times New Roman" w:hAnsi="Arial" w:cs="Arial"/>
                <w:b/>
                <w:bCs/>
                <w:color w:val="000000"/>
                <w:sz w:val="20"/>
                <w:szCs w:val="20"/>
                <w:lang w:eastAsia="cs-CZ"/>
              </w:rPr>
              <w:t>nízká</w:t>
            </w:r>
          </w:p>
        </w:tc>
      </w:tr>
      <w:tr w:rsidR="00CF6076" w:rsidRPr="00C943FB" w:rsidTr="00EE3CDC">
        <w:trPr>
          <w:trHeight w:val="300"/>
        </w:trPr>
        <w:tc>
          <w:tcPr>
            <w:cnfStyle w:val="001000000000"/>
            <w:tcW w:w="3085" w:type="dxa"/>
            <w:noWrap/>
            <w:hideMark/>
          </w:tcPr>
          <w:p w:rsidR="00CF6076" w:rsidRPr="00C943FB" w:rsidRDefault="00CF6076" w:rsidP="00982F4E">
            <w:pPr>
              <w:spacing w:before="0" w:after="0" w:line="360" w:lineRule="auto"/>
              <w:jc w:val="left"/>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Finanční instituce</w:t>
            </w:r>
          </w:p>
        </w:tc>
        <w:tc>
          <w:tcPr>
            <w:tcW w:w="567" w:type="dxa"/>
            <w:hideMark/>
          </w:tcPr>
          <w:p w:rsidR="00CF6076" w:rsidRPr="00C943FB" w:rsidRDefault="00CF6076" w:rsidP="00982F4E">
            <w:pPr>
              <w:spacing w:before="0" w:after="0" w:line="360" w:lineRule="auto"/>
              <w:cnfStyle w:val="0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xx</w:t>
            </w:r>
          </w:p>
        </w:tc>
        <w:tc>
          <w:tcPr>
            <w:tcW w:w="567" w:type="dxa"/>
            <w:hideMark/>
          </w:tcPr>
          <w:p w:rsidR="00CF6076" w:rsidRPr="00C943FB" w:rsidRDefault="00CF6076" w:rsidP="00982F4E">
            <w:pPr>
              <w:spacing w:before="0" w:after="0" w:line="360" w:lineRule="auto"/>
              <w:cnfStyle w:val="0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o</w:t>
            </w:r>
          </w:p>
        </w:tc>
        <w:tc>
          <w:tcPr>
            <w:tcW w:w="567" w:type="dxa"/>
            <w:hideMark/>
          </w:tcPr>
          <w:p w:rsidR="00CF6076" w:rsidRPr="00C943FB" w:rsidRDefault="00CF6076" w:rsidP="00982F4E">
            <w:pPr>
              <w:spacing w:before="0" w:after="0" w:line="360" w:lineRule="auto"/>
              <w:cnfStyle w:val="0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o</w:t>
            </w:r>
          </w:p>
        </w:tc>
        <w:tc>
          <w:tcPr>
            <w:tcW w:w="567" w:type="dxa"/>
            <w:hideMark/>
          </w:tcPr>
          <w:p w:rsidR="00CF6076" w:rsidRPr="00C943FB" w:rsidRDefault="00CF6076" w:rsidP="00982F4E">
            <w:pPr>
              <w:spacing w:before="0" w:after="0" w:line="360" w:lineRule="auto"/>
              <w:cnfStyle w:val="0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o</w:t>
            </w:r>
          </w:p>
        </w:tc>
        <w:tc>
          <w:tcPr>
            <w:tcW w:w="567" w:type="dxa"/>
            <w:hideMark/>
          </w:tcPr>
          <w:p w:rsidR="00CF6076" w:rsidRPr="00C943FB" w:rsidRDefault="00CF6076" w:rsidP="00982F4E">
            <w:pPr>
              <w:spacing w:before="0" w:after="0" w:line="360" w:lineRule="auto"/>
              <w:cnfStyle w:val="0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o</w:t>
            </w:r>
          </w:p>
        </w:tc>
        <w:tc>
          <w:tcPr>
            <w:tcW w:w="567" w:type="dxa"/>
            <w:hideMark/>
          </w:tcPr>
          <w:p w:rsidR="00CF6076" w:rsidRPr="00C943FB" w:rsidRDefault="00CF6076" w:rsidP="00982F4E">
            <w:pPr>
              <w:spacing w:before="0" w:after="0" w:line="360" w:lineRule="auto"/>
              <w:cnfStyle w:val="0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w:t>
            </w:r>
          </w:p>
        </w:tc>
        <w:tc>
          <w:tcPr>
            <w:tcW w:w="567" w:type="dxa"/>
            <w:hideMark/>
          </w:tcPr>
          <w:p w:rsidR="00CF6076" w:rsidRPr="00C943FB" w:rsidRDefault="00CF6076" w:rsidP="00982F4E">
            <w:pPr>
              <w:spacing w:before="0" w:after="0" w:line="360" w:lineRule="auto"/>
              <w:cnfStyle w:val="0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xx</w:t>
            </w:r>
          </w:p>
        </w:tc>
        <w:tc>
          <w:tcPr>
            <w:tcW w:w="567" w:type="dxa"/>
            <w:hideMark/>
          </w:tcPr>
          <w:p w:rsidR="00CF6076" w:rsidRPr="00C943FB" w:rsidRDefault="00CF6076" w:rsidP="00982F4E">
            <w:pPr>
              <w:spacing w:before="0" w:after="0" w:line="360" w:lineRule="auto"/>
              <w:cnfStyle w:val="0000000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o</w:t>
            </w:r>
          </w:p>
        </w:tc>
        <w:tc>
          <w:tcPr>
            <w:tcW w:w="1140" w:type="dxa"/>
            <w:hideMark/>
          </w:tcPr>
          <w:p w:rsidR="00CF6076" w:rsidRPr="00C943FB" w:rsidRDefault="00CF6076" w:rsidP="00982F4E">
            <w:pPr>
              <w:spacing w:before="0" w:after="0" w:line="360" w:lineRule="auto"/>
              <w:jc w:val="left"/>
              <w:cnfStyle w:val="000000000000"/>
              <w:rPr>
                <w:rFonts w:ascii="Arial" w:eastAsia="Times New Roman" w:hAnsi="Arial" w:cs="Arial"/>
                <w:b/>
                <w:bCs/>
                <w:color w:val="000000"/>
                <w:sz w:val="20"/>
                <w:szCs w:val="20"/>
                <w:lang w:eastAsia="cs-CZ"/>
              </w:rPr>
            </w:pPr>
            <w:r w:rsidRPr="00C943FB">
              <w:rPr>
                <w:rFonts w:ascii="Arial" w:eastAsia="Times New Roman" w:hAnsi="Arial" w:cs="Arial"/>
                <w:b/>
                <w:bCs/>
                <w:color w:val="000000"/>
                <w:sz w:val="20"/>
                <w:szCs w:val="20"/>
                <w:lang w:eastAsia="cs-CZ"/>
              </w:rPr>
              <w:t>nízká</w:t>
            </w:r>
          </w:p>
        </w:tc>
      </w:tr>
      <w:tr w:rsidR="00CF6076" w:rsidRPr="00C943FB" w:rsidTr="00EE3CDC">
        <w:trPr>
          <w:cnfStyle w:val="000000100000"/>
          <w:trHeight w:val="315"/>
        </w:trPr>
        <w:tc>
          <w:tcPr>
            <w:cnfStyle w:val="001000000000"/>
            <w:tcW w:w="3085" w:type="dxa"/>
            <w:noWrap/>
            <w:hideMark/>
          </w:tcPr>
          <w:p w:rsidR="00CF6076" w:rsidRPr="00C943FB" w:rsidRDefault="00CF6076" w:rsidP="00982F4E">
            <w:pPr>
              <w:spacing w:before="0" w:after="0" w:line="360" w:lineRule="auto"/>
              <w:jc w:val="left"/>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Seed, pre-seed, investoři</w:t>
            </w:r>
          </w:p>
        </w:tc>
        <w:tc>
          <w:tcPr>
            <w:tcW w:w="567" w:type="dxa"/>
            <w:noWrap/>
            <w:hideMark/>
          </w:tcPr>
          <w:p w:rsidR="00CF6076" w:rsidRPr="00C943FB" w:rsidRDefault="00CF6076" w:rsidP="00982F4E">
            <w:pPr>
              <w:spacing w:before="0" w:after="0" w:line="360" w:lineRule="auto"/>
              <w:jc w:val="left"/>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o</w:t>
            </w:r>
          </w:p>
        </w:tc>
        <w:tc>
          <w:tcPr>
            <w:tcW w:w="567" w:type="dxa"/>
            <w:noWrap/>
            <w:hideMark/>
          </w:tcPr>
          <w:p w:rsidR="00CF6076" w:rsidRPr="00C943FB" w:rsidRDefault="00CF6076" w:rsidP="00982F4E">
            <w:pPr>
              <w:spacing w:before="0" w:after="0" w:line="360" w:lineRule="auto"/>
              <w:jc w:val="left"/>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o</w:t>
            </w:r>
          </w:p>
        </w:tc>
        <w:tc>
          <w:tcPr>
            <w:tcW w:w="567" w:type="dxa"/>
            <w:noWrap/>
            <w:hideMark/>
          </w:tcPr>
          <w:p w:rsidR="00CF6076" w:rsidRPr="00C943FB" w:rsidRDefault="00CF6076" w:rsidP="00982F4E">
            <w:pPr>
              <w:spacing w:before="0" w:after="0" w:line="360" w:lineRule="auto"/>
              <w:jc w:val="left"/>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o</w:t>
            </w:r>
          </w:p>
        </w:tc>
        <w:tc>
          <w:tcPr>
            <w:tcW w:w="567" w:type="dxa"/>
            <w:noWrap/>
            <w:hideMark/>
          </w:tcPr>
          <w:p w:rsidR="00CF6076" w:rsidRPr="00C943FB" w:rsidRDefault="00CF6076" w:rsidP="00982F4E">
            <w:pPr>
              <w:spacing w:before="0" w:after="0" w:line="360" w:lineRule="auto"/>
              <w:jc w:val="left"/>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o</w:t>
            </w:r>
          </w:p>
        </w:tc>
        <w:tc>
          <w:tcPr>
            <w:tcW w:w="567" w:type="dxa"/>
            <w:noWrap/>
            <w:hideMark/>
          </w:tcPr>
          <w:p w:rsidR="00CF6076" w:rsidRPr="00C943FB" w:rsidRDefault="00CF6076" w:rsidP="00982F4E">
            <w:pPr>
              <w:spacing w:before="0" w:after="0" w:line="360" w:lineRule="auto"/>
              <w:jc w:val="left"/>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o</w:t>
            </w:r>
          </w:p>
        </w:tc>
        <w:tc>
          <w:tcPr>
            <w:tcW w:w="567" w:type="dxa"/>
            <w:noWrap/>
            <w:hideMark/>
          </w:tcPr>
          <w:p w:rsidR="00CF6076" w:rsidRPr="00C943FB" w:rsidRDefault="00CF6076" w:rsidP="00982F4E">
            <w:pPr>
              <w:spacing w:before="0" w:after="0" w:line="360" w:lineRule="auto"/>
              <w:jc w:val="left"/>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o</w:t>
            </w:r>
          </w:p>
        </w:tc>
        <w:tc>
          <w:tcPr>
            <w:tcW w:w="567" w:type="dxa"/>
            <w:noWrap/>
            <w:hideMark/>
          </w:tcPr>
          <w:p w:rsidR="00CF6076" w:rsidRPr="00C943FB" w:rsidRDefault="00CF6076" w:rsidP="00982F4E">
            <w:pPr>
              <w:spacing w:before="0" w:after="0" w:line="360" w:lineRule="auto"/>
              <w:jc w:val="left"/>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o</w:t>
            </w:r>
          </w:p>
        </w:tc>
        <w:tc>
          <w:tcPr>
            <w:tcW w:w="567" w:type="dxa"/>
            <w:noWrap/>
            <w:hideMark/>
          </w:tcPr>
          <w:p w:rsidR="00CF6076" w:rsidRPr="00C943FB" w:rsidRDefault="00CF6076" w:rsidP="00982F4E">
            <w:pPr>
              <w:spacing w:before="0" w:after="0" w:line="360" w:lineRule="auto"/>
              <w:jc w:val="left"/>
              <w:cnfStyle w:val="000000100000"/>
              <w:rPr>
                <w:rFonts w:ascii="Arial" w:eastAsia="Times New Roman" w:hAnsi="Arial" w:cs="Arial"/>
                <w:color w:val="000000"/>
                <w:sz w:val="20"/>
                <w:szCs w:val="20"/>
                <w:lang w:eastAsia="cs-CZ"/>
              </w:rPr>
            </w:pPr>
            <w:r w:rsidRPr="00C943FB">
              <w:rPr>
                <w:rFonts w:ascii="Arial" w:eastAsia="Times New Roman" w:hAnsi="Arial" w:cs="Arial"/>
                <w:color w:val="000000"/>
                <w:sz w:val="20"/>
                <w:szCs w:val="20"/>
                <w:lang w:eastAsia="cs-CZ"/>
              </w:rPr>
              <w:t>o</w:t>
            </w:r>
          </w:p>
        </w:tc>
        <w:tc>
          <w:tcPr>
            <w:tcW w:w="1140" w:type="dxa"/>
            <w:noWrap/>
            <w:hideMark/>
          </w:tcPr>
          <w:p w:rsidR="00CF6076" w:rsidRPr="00C943FB" w:rsidRDefault="00CF6076" w:rsidP="00982F4E">
            <w:pPr>
              <w:spacing w:before="0" w:after="0" w:line="360" w:lineRule="auto"/>
              <w:jc w:val="left"/>
              <w:cnfStyle w:val="000000100000"/>
              <w:rPr>
                <w:rFonts w:ascii="Arial" w:eastAsia="Times New Roman" w:hAnsi="Arial" w:cs="Arial"/>
                <w:b/>
                <w:bCs/>
                <w:color w:val="000000"/>
                <w:sz w:val="20"/>
                <w:szCs w:val="20"/>
                <w:lang w:eastAsia="cs-CZ"/>
              </w:rPr>
            </w:pPr>
            <w:r w:rsidRPr="00C943FB">
              <w:rPr>
                <w:rFonts w:ascii="Arial" w:eastAsia="Times New Roman" w:hAnsi="Arial" w:cs="Arial"/>
                <w:b/>
                <w:bCs/>
                <w:color w:val="000000"/>
                <w:sz w:val="20"/>
                <w:szCs w:val="20"/>
                <w:lang w:eastAsia="cs-CZ"/>
              </w:rPr>
              <w:t>žádná</w:t>
            </w:r>
          </w:p>
        </w:tc>
      </w:tr>
    </w:tbl>
    <w:p w:rsidR="00CF6076" w:rsidRDefault="00CF6076" w:rsidP="00982F4E">
      <w:pPr>
        <w:spacing w:line="360" w:lineRule="auto"/>
      </w:pPr>
    </w:p>
    <w:p w:rsidR="00CF6076" w:rsidRDefault="00CF6076" w:rsidP="00982F4E">
      <w:pPr>
        <w:pStyle w:val="Nadpis2"/>
        <w:numPr>
          <w:ilvl w:val="1"/>
          <w:numId w:val="1"/>
        </w:numPr>
        <w:spacing w:line="360" w:lineRule="auto"/>
      </w:pPr>
      <w:bookmarkStart w:id="35" w:name="_Toc368040303"/>
      <w:r>
        <w:t>Doporučení k jednotlivým identifikovaným problémovým okruhům</w:t>
      </w:r>
      <w:bookmarkEnd w:id="35"/>
    </w:p>
    <w:p w:rsidR="00CF6076" w:rsidRDefault="00CF6076" w:rsidP="00982F4E">
      <w:pPr>
        <w:pStyle w:val="Nadpis3"/>
        <w:numPr>
          <w:ilvl w:val="2"/>
          <w:numId w:val="1"/>
        </w:numPr>
        <w:spacing w:line="360" w:lineRule="auto"/>
      </w:pPr>
      <w:bookmarkStart w:id="36" w:name="_Toc368040304"/>
      <w:r>
        <w:t>Internet pro konkurenceschopnost</w:t>
      </w:r>
      <w:bookmarkEnd w:id="36"/>
    </w:p>
    <w:p w:rsidR="00CF6076" w:rsidRDefault="00CF6076" w:rsidP="00982F4E">
      <w:pPr>
        <w:spacing w:line="360" w:lineRule="auto"/>
      </w:pPr>
      <w:r>
        <w:t xml:space="preserve">Jak již bylo popsáno výše v této studii, je internet průřezová technologie, která (pokud je dobře aplikována) pomáhá zvyšovat produktivitu napříč jednotlivými odvětvími a obory lidské činnosti. Internet pomáhá zvyšovat produktivitu v podnikatelském sektoru, neboť zjednodušuje a zlevňuje dodavatelsko-odběratelské vztahy, přispívá k snazší komunikaci v rámci podniku, jeho prostřednictvím funguje řada nástrojů, které pomáhají kvalitnější správě a řízení podnikových procesů apod. Podobně internet přispívá k zefektivnění nabídky a poptávky na trhu práce, na trhu zboží a služeb i ve vzdělávání. </w:t>
      </w:r>
    </w:p>
    <w:p w:rsidR="00CF6076" w:rsidRDefault="00CF6076" w:rsidP="00982F4E">
      <w:pPr>
        <w:spacing w:line="360" w:lineRule="auto"/>
      </w:pPr>
      <w:r>
        <w:lastRenderedPageBreak/>
        <w:t xml:space="preserve">Nicméně právě fakt, že je internet průřezová technologie v kombinaci s jeho rychlým rozvojem (a rozvojem na něm založených aplikací a souvisejících technických oborů) vede k tomu, že je jej poměrně obtížné začlenit do sektorově rozdělených veřejných politik. Některé státy (a rovněž EU a jiné nadnárodní seskupení) jsou si vědomy přínosů internetu, ale i jeho komplexního charakteru, a proto jeho podporu řeší na úrovni vlády a v kooperaci s nejdůležitějšími dotčenými skupinami (průmyslem, samosprávami apod.). Příkladem může být estonská iniciativa e-Estonia (jejímž partnerem je nezisková organizace Demo Center, která sdružuje a zaštiťuje hlavní hráče v ICT), evropský DG Connect, irský </w:t>
      </w:r>
      <w:r w:rsidRPr="00611376">
        <w:t>Department of Communications, Energy and Natural Resources</w:t>
      </w:r>
      <w:r>
        <w:t xml:space="preserve"> nebo například singapurská Infocomm Development Authority a mnoho dalších. Zatímco forma organizace, která zajišťuje rozvoj digitální agendy, se v různých zemích liší, jeden aspekt podpory internetu je v zemích, které si uvědomují přínosy internetu, zůstává vždy stejný – a to vždy jasná podpora internetu jako prorůstové technologie na úrovni vlády.</w:t>
      </w:r>
    </w:p>
    <w:p w:rsidR="00793239" w:rsidRPr="00793239" w:rsidRDefault="00793239" w:rsidP="00982F4E">
      <w:pPr>
        <w:spacing w:line="360" w:lineRule="auto"/>
        <w:rPr>
          <w:i/>
        </w:rPr>
      </w:pPr>
      <w:r w:rsidRPr="00793239">
        <w:rPr>
          <w:i/>
        </w:rPr>
        <w:t>„České veřejné instituce nemají jasného gestora ve vztahu k internetu – vnitro se stará o registry, průmysl o Digitální Česko, kultura o obsah, školství o informatické obory – každý dělá z internetu kousek, ale nikdo se jím nezabývá jako celkem.“</w:t>
      </w:r>
      <w:r>
        <w:rPr>
          <w:rStyle w:val="Znakapoznpodarou"/>
          <w:i/>
        </w:rPr>
        <w:footnoteReference w:id="41"/>
      </w:r>
    </w:p>
    <w:p w:rsidR="00CF6076" w:rsidRDefault="00CF6076" w:rsidP="00982F4E">
      <w:pPr>
        <w:spacing w:line="360" w:lineRule="auto"/>
      </w:pPr>
      <w:r>
        <w:t>Jak naznačuje Global Information Technology Report 2013 Světového obchodního fóra, má právě v této oblasti Česká republika nejvýznamnější mezery. Pokud se podíváme na profil ČR v tomto hodnocení, ukazuje se, že:</w:t>
      </w:r>
    </w:p>
    <w:p w:rsidR="00CF6076" w:rsidRDefault="00CF6076" w:rsidP="00982F4E">
      <w:pPr>
        <w:pStyle w:val="Odstavecseseznamem"/>
        <w:numPr>
          <w:ilvl w:val="0"/>
          <w:numId w:val="38"/>
        </w:numPr>
        <w:spacing w:line="360" w:lineRule="auto"/>
      </w:pPr>
      <w:r>
        <w:t>ČR se umístila na 122. místě ze 144 hodnocených států z hlediska vládních nákupů pokročilých technologií</w:t>
      </w:r>
      <w:r>
        <w:rPr>
          <w:rStyle w:val="Znakapoznpodarou"/>
        </w:rPr>
        <w:footnoteReference w:id="42"/>
      </w:r>
    </w:p>
    <w:p w:rsidR="00CF6076" w:rsidRDefault="00CF6076" w:rsidP="00982F4E">
      <w:pPr>
        <w:pStyle w:val="Odstavecseseznamem"/>
        <w:numPr>
          <w:ilvl w:val="0"/>
          <w:numId w:val="38"/>
        </w:numPr>
        <w:spacing w:line="360" w:lineRule="auto"/>
      </w:pPr>
      <w:r>
        <w:t>Z hlediska efektivity právního systému v řešení sporů a ve snižování administrativní zátěže s relevancí k ICT se ČR umístila na 115., respektive 118. místě ze 144 hodnocených států (k legislativě a regulaci viz další bod tohoto hodnocení)</w:t>
      </w:r>
    </w:p>
    <w:p w:rsidR="00CF6076" w:rsidRDefault="00CF6076" w:rsidP="00982F4E">
      <w:pPr>
        <w:pStyle w:val="Odstavecseseznamem"/>
        <w:numPr>
          <w:ilvl w:val="0"/>
          <w:numId w:val="38"/>
        </w:numPr>
        <w:spacing w:line="360" w:lineRule="auto"/>
      </w:pPr>
      <w:r>
        <w:t>Velmi špatně se ČR umístila i z hlediska ukazatele hodnotícího význam ICT pro vizi vlády (114/144)</w:t>
      </w:r>
    </w:p>
    <w:p w:rsidR="00CF6076" w:rsidRDefault="00CF6076" w:rsidP="00982F4E">
      <w:pPr>
        <w:pStyle w:val="Odstavecseseznamem"/>
        <w:numPr>
          <w:ilvl w:val="0"/>
          <w:numId w:val="38"/>
        </w:numPr>
        <w:spacing w:line="360" w:lineRule="auto"/>
      </w:pPr>
      <w:r>
        <w:t>a negativně jsou hodnoceny i úspěchy vlády při prosazování ICT (103./144)</w:t>
      </w:r>
    </w:p>
    <w:p w:rsidR="00CF6076" w:rsidRDefault="00CF6076" w:rsidP="00982F4E">
      <w:pPr>
        <w:spacing w:line="360" w:lineRule="auto"/>
      </w:pPr>
      <w:r>
        <w:t xml:space="preserve">Shrnutí výsledného hodnocení ČR v Global Information Technology Report 2013 ukazuje následující pavučinový graf, který porovnává ČR s dalšími vyspělými státy, z něhož je vidět, že </w:t>
      </w:r>
      <w:r>
        <w:lastRenderedPageBreak/>
        <w:t>největší odstup od průměru vyspělých zemí má ČR ve složeném ukazateli „Government usage“, který právě hodnotí důraz, který vláda klade na ICT a její schopnost ICT efektivně podpořit.</w:t>
      </w:r>
    </w:p>
    <w:p w:rsidR="00CF6076" w:rsidRDefault="00CF6076" w:rsidP="00982F4E">
      <w:pPr>
        <w:pStyle w:val="Titulek"/>
        <w:spacing w:line="360" w:lineRule="auto"/>
      </w:pPr>
      <w:r>
        <w:t xml:space="preserve">Graf </w:t>
      </w:r>
      <w:fldSimple w:instr=" SEQ Graf \* ARABIC ">
        <w:r>
          <w:rPr>
            <w:noProof/>
          </w:rPr>
          <w:t>19</w:t>
        </w:r>
      </w:fldSimple>
      <w:r>
        <w:t>: Global Information Technology Report 2013 – porovnání výsledků ČR s průměrem vyspělých zemí</w:t>
      </w:r>
    </w:p>
    <w:p w:rsidR="00CF6076" w:rsidRDefault="00CF6076" w:rsidP="00982F4E">
      <w:pPr>
        <w:spacing w:line="360" w:lineRule="auto"/>
      </w:pPr>
      <w:r>
        <w:rPr>
          <w:noProof/>
          <w:lang w:eastAsia="cs-CZ"/>
        </w:rPr>
        <w:drawing>
          <wp:inline distT="0" distB="0" distL="0" distR="0">
            <wp:extent cx="4572000" cy="2743200"/>
            <wp:effectExtent l="0" t="0" r="0" b="0"/>
            <wp:docPr id="48"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F6076" w:rsidRDefault="00CF6076" w:rsidP="00982F4E">
      <w:pPr>
        <w:pStyle w:val="Citace1"/>
        <w:spacing w:line="360" w:lineRule="auto"/>
      </w:pPr>
      <w:r>
        <w:t>Zdroj: Global Information Technology Report 2013</w:t>
      </w:r>
    </w:p>
    <w:p w:rsidR="00506242" w:rsidRDefault="00506242" w:rsidP="00982F4E">
      <w:pPr>
        <w:spacing w:line="360" w:lineRule="auto"/>
      </w:pPr>
    </w:p>
    <w:p w:rsidR="00CF6076" w:rsidRDefault="00CF6076" w:rsidP="00982F4E">
      <w:pPr>
        <w:spacing w:line="360" w:lineRule="auto"/>
      </w:pPr>
      <w:r>
        <w:t xml:space="preserve">Výsledky celosvětového srovnání Global Information Technology Report 2013 tedy potvrzují závěry, které vyplynuly i z konzultací v rámci přípravy této studie, že nejvýznamnějším překážkou rozvoje internetové ekonomiky v ČR je nedostatek vize vedení státu v této oblasti. </w:t>
      </w:r>
    </w:p>
    <w:p w:rsidR="00CF6076" w:rsidRPr="00621711" w:rsidRDefault="00CF6076" w:rsidP="00982F4E">
      <w:pPr>
        <w:spacing w:line="360" w:lineRule="auto"/>
        <w:rPr>
          <w:b/>
        </w:rPr>
      </w:pPr>
      <w:r>
        <w:rPr>
          <w:b/>
        </w:rPr>
        <w:t>Doporučení</w:t>
      </w:r>
    </w:p>
    <w:p w:rsidR="00CF6076" w:rsidRDefault="00CF6076" w:rsidP="00982F4E">
      <w:pPr>
        <w:pStyle w:val="Odstavecseseznamem"/>
        <w:numPr>
          <w:ilvl w:val="0"/>
          <w:numId w:val="39"/>
        </w:numPr>
        <w:spacing w:line="360" w:lineRule="auto"/>
      </w:pPr>
      <w:r>
        <w:t>Aktivní komunikace významu internetu a internetové ekonomiky směrem k politické reprezentaci a vysokým státním úředníkům</w:t>
      </w:r>
    </w:p>
    <w:p w:rsidR="00CF6076" w:rsidRDefault="00CF6076" w:rsidP="00982F4E">
      <w:pPr>
        <w:pStyle w:val="Odstavecseseznamem"/>
        <w:numPr>
          <w:ilvl w:val="0"/>
          <w:numId w:val="39"/>
        </w:numPr>
        <w:spacing w:line="360" w:lineRule="auto"/>
      </w:pPr>
      <w:r>
        <w:t>Aktivity zaměřené na prezentaci příkladů dobré praxe v podpoře internetové ekonomiky v zahraničí</w:t>
      </w:r>
    </w:p>
    <w:p w:rsidR="00CF6076" w:rsidRDefault="00CF6076" w:rsidP="00982F4E">
      <w:pPr>
        <w:pStyle w:val="Odstavecseseznamem"/>
        <w:numPr>
          <w:ilvl w:val="0"/>
          <w:numId w:val="39"/>
        </w:numPr>
        <w:spacing w:line="360" w:lineRule="auto"/>
      </w:pPr>
      <w:r>
        <w:t>Osvětové aktivity směrem k politické reprezentaci a vysokým státním úředníkům zaměřené na vysvětlení, že internetová ekonomika nejsou jen vládní výdaje na ICT, ale že jde o daleko širší fenomén (viz kategorie hodnocené v Global Information Technology Report 2013)</w:t>
      </w:r>
    </w:p>
    <w:p w:rsidR="00CF6076" w:rsidRPr="00FE1E97" w:rsidRDefault="00CF6076" w:rsidP="00982F4E">
      <w:pPr>
        <w:pStyle w:val="Odstavecseseznamem"/>
        <w:numPr>
          <w:ilvl w:val="0"/>
          <w:numId w:val="39"/>
        </w:numPr>
        <w:spacing w:line="360" w:lineRule="auto"/>
      </w:pPr>
      <w:r>
        <w:t xml:space="preserve">Možnými nástroji jsou kulaté stoly a workshopy, twinningové programy se státy, které jsou v oblasti rozvoje ICT ve světové špičce (v EU např. Skandinávie a Estonsko – možnost využití Norských fondů nebo spolupráce s Nordic Chamber of Commerce) a </w:t>
      </w:r>
      <w:r>
        <w:lastRenderedPageBreak/>
        <w:t>prezentace možností internetové ekonomiky médiím a sdružením podniků (vytváření vícestranného tlaku na prosazování ICT agendy)</w:t>
      </w:r>
    </w:p>
    <w:p w:rsidR="00CF6076" w:rsidRDefault="00CF6076" w:rsidP="00982F4E">
      <w:pPr>
        <w:pStyle w:val="Nadpis3"/>
        <w:numPr>
          <w:ilvl w:val="2"/>
          <w:numId w:val="1"/>
        </w:numPr>
        <w:spacing w:line="360" w:lineRule="auto"/>
      </w:pPr>
      <w:bookmarkStart w:id="37" w:name="_Toc368040305"/>
      <w:r>
        <w:t>Personální obsazení ve veřejné správě</w:t>
      </w:r>
      <w:bookmarkEnd w:id="37"/>
      <w:r>
        <w:t xml:space="preserve"> </w:t>
      </w:r>
    </w:p>
    <w:p w:rsidR="00793239" w:rsidRDefault="00CF6076" w:rsidP="00982F4E">
      <w:pPr>
        <w:spacing w:line="360" w:lineRule="auto"/>
      </w:pPr>
      <w:r>
        <w:t>Velkým problémem, který je ostatně jednou z příčin nedostatku vize českého státu v oblasti ICT, je i personální obsazení postů ve veřejné správě. Čeští úředníci v drtivé většině ICT sektoru dostatečně nerozumí</w:t>
      </w:r>
      <w:r>
        <w:rPr>
          <w:rStyle w:val="Znakapoznpodarou"/>
        </w:rPr>
        <w:footnoteReference w:id="43"/>
      </w:r>
      <w:r>
        <w:t xml:space="preserve">, a proto se jejich rozvojem není schopna efektivně zabývat. Hlubší a obecnější příčinnou tohoto problému je pak fakt, že pro vysoce kvalifikované osoby není veřejná správa příliš atraktivním zaměstnavatelem – vzhledem k platovým podmínkám, ale i k nedostatečně silnému postavení úředníků (které, na rozdíl od jiných vyspělých států, v ČR nechrání systém státní služby). </w:t>
      </w:r>
    </w:p>
    <w:p w:rsidR="00793239" w:rsidRPr="00793239" w:rsidRDefault="00793239" w:rsidP="00982F4E">
      <w:pPr>
        <w:spacing w:line="360" w:lineRule="auto"/>
        <w:rPr>
          <w:i/>
        </w:rPr>
      </w:pPr>
      <w:r w:rsidRPr="00793239">
        <w:rPr>
          <w:i/>
        </w:rPr>
        <w:t>„Čeští úředníci internetu nerozumí a nezajímá je. To se projevuje v legislativě, ale třeba i v problémech se zadáváním veřejných zakázek na elektronizaci veřejné správy.“</w:t>
      </w:r>
      <w:r>
        <w:rPr>
          <w:rStyle w:val="Znakapoznpodarou"/>
          <w:i/>
        </w:rPr>
        <w:footnoteReference w:id="44"/>
      </w:r>
    </w:p>
    <w:p w:rsidR="00CF6076" w:rsidRDefault="00CF6076" w:rsidP="00982F4E">
      <w:pPr>
        <w:spacing w:line="360" w:lineRule="auto"/>
      </w:pPr>
      <w:r>
        <w:t>V situaci, kdy platy ve veřejné správě nejsou konkurenceschopné s platy v soukromém sektoru, a kdy ve veřejné správě nejsou jasná pravidla pro osobní rozvoj a kariérní postup, a za situace častých změn ve vedení úřadů</w:t>
      </w:r>
      <w:r>
        <w:rPr>
          <w:rStyle w:val="Znakapoznpodarou"/>
        </w:rPr>
        <w:footnoteReference w:id="45"/>
      </w:r>
      <w:r>
        <w:t xml:space="preserve"> je zřejmé, že dostat do veřejné správy kvalifikované odborníky z ICT sektoru je takřka nemožný úkol – zejména za situace, kdy je těchto lidí na trhu nedostatek a v soukromém sektoru mají tedy daleko lepší podmínky pro profesní uplatnění. </w:t>
      </w:r>
    </w:p>
    <w:p w:rsidR="00CF6076" w:rsidRPr="00A37069" w:rsidRDefault="00CF6076" w:rsidP="00982F4E">
      <w:pPr>
        <w:spacing w:line="360" w:lineRule="auto"/>
        <w:rPr>
          <w:b/>
        </w:rPr>
      </w:pPr>
      <w:r>
        <w:rPr>
          <w:b/>
        </w:rPr>
        <w:t>Doporučení</w:t>
      </w:r>
    </w:p>
    <w:p w:rsidR="00CF6076" w:rsidRDefault="00CF6076" w:rsidP="00982F4E">
      <w:pPr>
        <w:pStyle w:val="Odstavecseseznamem"/>
        <w:numPr>
          <w:ilvl w:val="0"/>
          <w:numId w:val="40"/>
        </w:numPr>
        <w:spacing w:line="360" w:lineRule="auto"/>
      </w:pPr>
      <w:r>
        <w:t>Podporovat zavedení služebního zákona, který by upravil pozici úředníků, jakož i jejich kariérní postup a systém vzdělávání</w:t>
      </w:r>
      <w:r>
        <w:rPr>
          <w:rStyle w:val="Znakapoznpodarou"/>
        </w:rPr>
        <w:footnoteReference w:id="46"/>
      </w:r>
    </w:p>
    <w:p w:rsidR="00CF6076" w:rsidRDefault="00CF6076" w:rsidP="00982F4E">
      <w:pPr>
        <w:pStyle w:val="Odstavecseseznamem"/>
        <w:numPr>
          <w:ilvl w:val="0"/>
          <w:numId w:val="40"/>
        </w:numPr>
        <w:spacing w:line="360" w:lineRule="auto"/>
      </w:pPr>
      <w:r>
        <w:t>Osvětová činnost ve vztahu ke konkrétním skupinám úředníků – zejména těm, kteří jsou zodpovědní za ICT agendu a k legislativcům (např. zohledňování dopadů na technologie</w:t>
      </w:r>
      <w:r>
        <w:rPr>
          <w:rStyle w:val="Znakapoznpodarou"/>
        </w:rPr>
        <w:footnoteReference w:id="47"/>
      </w:r>
      <w:r>
        <w:t xml:space="preserve"> při hodnocení dopadů regulace</w:t>
      </w:r>
      <w:r>
        <w:rPr>
          <w:rStyle w:val="Znakapoznpodarou"/>
        </w:rPr>
        <w:footnoteReference w:id="48"/>
      </w:r>
      <w:r>
        <w:t>)</w:t>
      </w:r>
    </w:p>
    <w:p w:rsidR="00CF6076" w:rsidRPr="004E1760" w:rsidRDefault="00CF6076" w:rsidP="00982F4E">
      <w:pPr>
        <w:pStyle w:val="Odstavecseseznamem"/>
        <w:numPr>
          <w:ilvl w:val="0"/>
          <w:numId w:val="40"/>
        </w:numPr>
        <w:spacing w:line="360" w:lineRule="auto"/>
      </w:pPr>
      <w:r>
        <w:t>Prosazovat e-Skills a digitální gramotnost jako součást profesního vzdělávání úředníků</w:t>
      </w:r>
    </w:p>
    <w:p w:rsidR="00CF6076" w:rsidRDefault="00CF6076" w:rsidP="00982F4E">
      <w:pPr>
        <w:pStyle w:val="Nadpis3"/>
        <w:numPr>
          <w:ilvl w:val="2"/>
          <w:numId w:val="1"/>
        </w:numPr>
        <w:spacing w:line="360" w:lineRule="auto"/>
      </w:pPr>
      <w:bookmarkStart w:id="38" w:name="_Toc368040306"/>
      <w:r>
        <w:lastRenderedPageBreak/>
        <w:t>Legislativa</w:t>
      </w:r>
      <w:bookmarkEnd w:id="38"/>
    </w:p>
    <w:p w:rsidR="00CF6076" w:rsidRDefault="00CF6076" w:rsidP="00982F4E">
      <w:pPr>
        <w:spacing w:line="360" w:lineRule="auto"/>
      </w:pPr>
      <w:r>
        <w:t xml:space="preserve">Doporučení uvedená v bodech 6.2.1 a 6.2.2 jsou relevantní i v oblasti legislativy. Konzultace v rámci této studie nepotvrdily, že by překážkou pro rozvoj internetové ekonomiky byl v ČR některý konkrétní zákon, ale spíše obecná implementace právních předpisů, která nereflektuje specifické potřeby internetové ekonomiky a jejích aktérů. Tento problém se nejmarkantněji projevuje, dle konzultací, při implementaci evropské legislativy, kdy české úřady často volí varianty implementace, které jsou bez závažného důvodu přísnější než je třeba a omezují rozvoj české internetové ekonomiky. Ze stejných důvodů není ČR schopna rovněž efektivně hájit zájmy ČR v rámci vyjednávání o EU legislativě a při jednání o evropské Digitální Agendě – kdy ve veřejné správě v zásadě není nikdo, kdo by v této oblasti byl lídrem, který českou internetovou ekonomiku hájí. </w:t>
      </w:r>
    </w:p>
    <w:p w:rsidR="00793239" w:rsidRPr="00793239" w:rsidRDefault="00793239" w:rsidP="00982F4E">
      <w:pPr>
        <w:spacing w:line="360" w:lineRule="auto"/>
        <w:rPr>
          <w:i/>
        </w:rPr>
      </w:pPr>
      <w:r w:rsidRPr="00793239">
        <w:rPr>
          <w:i/>
        </w:rPr>
        <w:t>„Když se v Bruselu připravují pozice států k Digitální Agendě, v ČR není na koho se obrátit.“</w:t>
      </w:r>
      <w:r>
        <w:rPr>
          <w:rStyle w:val="Znakapoznpodarou"/>
          <w:i/>
        </w:rPr>
        <w:footnoteReference w:id="49"/>
      </w:r>
    </w:p>
    <w:p w:rsidR="00CF6076" w:rsidRDefault="00CF6076" w:rsidP="00982F4E">
      <w:pPr>
        <w:pStyle w:val="Nadpis3"/>
        <w:numPr>
          <w:ilvl w:val="2"/>
          <w:numId w:val="1"/>
        </w:numPr>
        <w:spacing w:line="360" w:lineRule="auto"/>
      </w:pPr>
      <w:bookmarkStart w:id="39" w:name="_Toc368040307"/>
      <w:r>
        <w:t>Nedostatek seed a pre-seed financování pro rozvoj nových podniků v internetové ekonomice</w:t>
      </w:r>
      <w:bookmarkEnd w:id="39"/>
    </w:p>
    <w:p w:rsidR="00793239" w:rsidRDefault="00CF6076" w:rsidP="00982F4E">
      <w:pPr>
        <w:spacing w:line="360" w:lineRule="auto"/>
      </w:pPr>
      <w:r>
        <w:t xml:space="preserve">Podle výsledku konzultací právě v oblastech relevantních pro internetovou ekonomiku nedostatek financování typu seed a pre-seed není problém. Zahájení podnikání v oblasti IT není v řadě případů až tak kapitálově náročné (v porovnání např. se strojírenstvím či life sciences), často jde spíše o dobrý nápad a schopnost jej dotáhnout do konce a úspěšně prodat. Na trhu se navíc pohybuje celá řada podniků i investičních fondů, které jsou právě v této oblasti schopny poskytnout financování nebo strategická partnerství. </w:t>
      </w:r>
    </w:p>
    <w:p w:rsidR="00793239" w:rsidRPr="00793239" w:rsidRDefault="00793239" w:rsidP="00982F4E">
      <w:pPr>
        <w:spacing w:line="360" w:lineRule="auto"/>
        <w:rPr>
          <w:i/>
        </w:rPr>
      </w:pPr>
      <w:r w:rsidRPr="00793239">
        <w:rPr>
          <w:i/>
        </w:rPr>
        <w:t>„Kdo má vůli pracovat a riskovat, aby svůj nápad v ICT dostal na trh, ten si investora sežene. Vládní podpory jen kazí trh.“</w:t>
      </w:r>
      <w:r>
        <w:rPr>
          <w:rStyle w:val="Znakapoznpodarou"/>
          <w:i/>
        </w:rPr>
        <w:footnoteReference w:id="50"/>
      </w:r>
    </w:p>
    <w:p w:rsidR="00CF6076" w:rsidRDefault="00CF6076" w:rsidP="00982F4E">
      <w:pPr>
        <w:spacing w:line="360" w:lineRule="auto"/>
      </w:pPr>
      <w:r>
        <w:t>Ačkoliv Global Information Technology Report 2013 řadí Českou republiku z hlediska dostupnosti venture kapitálu až na 83. místo ze 144 hodnocených států, konzultace z trhu i zkušenost zpracovatelů této studie naznačuje, že právě v oblasti ICT se nedostatek venture kapitálu výrazně zlepšuje a v zásadě již není výrazným problémem.</w:t>
      </w:r>
    </w:p>
    <w:p w:rsidR="00CF6076" w:rsidRDefault="00CF6076" w:rsidP="00982F4E">
      <w:pPr>
        <w:spacing w:line="360" w:lineRule="auto"/>
        <w:rPr>
          <w:b/>
        </w:rPr>
      </w:pPr>
      <w:r>
        <w:rPr>
          <w:b/>
        </w:rPr>
        <w:t>Doporučení</w:t>
      </w:r>
    </w:p>
    <w:p w:rsidR="00CF6076" w:rsidRDefault="00CF6076" w:rsidP="00982F4E">
      <w:pPr>
        <w:spacing w:line="360" w:lineRule="auto"/>
      </w:pPr>
      <w:r>
        <w:t>V této oblasti sledovat nové trendy, nicméně konkrétní angažovanost ponechat spíše na individuálním zájmu členů SPIR či pouze ad hoc na zajímavých projektech.</w:t>
      </w:r>
    </w:p>
    <w:p w:rsidR="00CF6076" w:rsidRDefault="00CF6076" w:rsidP="00982F4E">
      <w:pPr>
        <w:pStyle w:val="Nadpis3"/>
        <w:numPr>
          <w:ilvl w:val="2"/>
          <w:numId w:val="1"/>
        </w:numPr>
        <w:spacing w:line="360" w:lineRule="auto"/>
      </w:pPr>
      <w:bookmarkStart w:id="40" w:name="_Toc368040308"/>
      <w:r>
        <w:lastRenderedPageBreak/>
        <w:t>Malé porozumění finančních institucí potřebám podniků v oblasti internetové ekonomiky</w:t>
      </w:r>
      <w:bookmarkEnd w:id="40"/>
    </w:p>
    <w:p w:rsidR="00CF6076" w:rsidRDefault="00CF6076" w:rsidP="00982F4E">
      <w:pPr>
        <w:spacing w:line="360" w:lineRule="auto"/>
      </w:pPr>
      <w:r>
        <w:t xml:space="preserve">Pro finanční trhy na celém světě jsou podniky z oblasti internetové ekonomiky velmi těžko uchopitelnou a ocenitelnou oblastí, což v minulosti ukázaly nejen finanční bubliny typu WorldCom i systematická neschopnost finančních trhů porozumět driverům zisku u globálních gigantů typu Facebook, LinkedIn či Google (která se projevuje velmi silnými výkyvy v ceně akcií a v nepředvídatelných reakcích investorů na každou zprávu o plánech těchto společností). Jednou z příčin je nedostatek pracovníků ve finančním sektoru, kteří by měli zkušenosti s internetovými podniky, způsobem, jakým tyto podniky rostou a definují a systematicky redefinují své obchodní strategie v návaznosti na velmi dynamický vývoj tohoto odvětví. </w:t>
      </w:r>
    </w:p>
    <w:p w:rsidR="00CF6076" w:rsidRDefault="00CF6076" w:rsidP="00982F4E">
      <w:pPr>
        <w:spacing w:line="360" w:lineRule="auto"/>
      </w:pPr>
      <w:r>
        <w:t xml:space="preserve">Výše popsaný problém je globálního charakteru a projevuje se v českém konzervativním finančním sektoru. Finanční produkty, ale i produkty veřejné podpory exportu a investic jsou nastaveny na tradiční odvětví zpracovatelského průmyslu, přičemž pro podniky v oblasti internetové ekonomiky (založené z velké části nejen na produktech, ale především na službách), je často těžké získat v tomto prostředí finanční prostředky (nebo jiné produkty – záruky, pojištění investic apod.) na své projekty. </w:t>
      </w:r>
    </w:p>
    <w:p w:rsidR="00CF6076" w:rsidRDefault="00CF6076" w:rsidP="00982F4E">
      <w:pPr>
        <w:spacing w:line="360" w:lineRule="auto"/>
      </w:pPr>
      <w:r>
        <w:t>Samostatnou kapitolou je pak podpora projektů v oblasti vědy a výzkumu, kde jsou informační technologie vesměs stranou zájmu v porovnání s průmyslovým výzkumem a dalšími obory. Z konzultací nicméně vyplynulo, že tato oblast není pro dotazované subjekty významná, neboť velká část výzkumu a vývoje se v této oblasti realizuje in-house, k čemuž je ideálním způsobem podpory forma daňových úlev, která v ČR zavedena je.</w:t>
      </w:r>
    </w:p>
    <w:p w:rsidR="00540FA4" w:rsidRPr="00540FA4" w:rsidRDefault="00540FA4" w:rsidP="00982F4E">
      <w:pPr>
        <w:spacing w:line="360" w:lineRule="auto"/>
        <w:rPr>
          <w:i/>
        </w:rPr>
      </w:pPr>
      <w:r w:rsidRPr="00540FA4">
        <w:rPr>
          <w:i/>
        </w:rPr>
        <w:t>„České banky už se naučily internetové podnikání financovat. Možná financování investic do zahraničí je občas problém, ale ne nepřekonatelný.“</w:t>
      </w:r>
      <w:r w:rsidRPr="00540FA4">
        <w:rPr>
          <w:rStyle w:val="Znakapoznpodarou"/>
          <w:i/>
        </w:rPr>
        <w:footnoteReference w:id="51"/>
      </w:r>
    </w:p>
    <w:p w:rsidR="00CF6076" w:rsidRDefault="00CF6076" w:rsidP="00982F4E">
      <w:pPr>
        <w:spacing w:line="360" w:lineRule="auto"/>
        <w:rPr>
          <w:b/>
        </w:rPr>
      </w:pPr>
      <w:r>
        <w:rPr>
          <w:b/>
        </w:rPr>
        <w:t>Doporučení</w:t>
      </w:r>
    </w:p>
    <w:p w:rsidR="00CF6076" w:rsidRDefault="00CF6076" w:rsidP="00982F4E">
      <w:pPr>
        <w:spacing w:line="360" w:lineRule="auto"/>
      </w:pPr>
      <w:r>
        <w:t xml:space="preserve">V této oblasti se doporučuje navázat komunikaci s orgány státní podpory exportu (CzechTrade, ČEB, EGAP a MPO) a investic (CzechInvest) ve vztahu k vytvoření produktů specifických pro podniky v oblasti internetové ekonomiky – zejména v otázkách pojištění a financování zahraniční expanze s návazným exportem služeb. </w:t>
      </w:r>
    </w:p>
    <w:p w:rsidR="00CF6076" w:rsidRDefault="00CF6076" w:rsidP="00982F4E">
      <w:pPr>
        <w:spacing w:line="360" w:lineRule="auto"/>
      </w:pPr>
      <w:r>
        <w:t xml:space="preserve">Dále se doporučuje sledovat aktivity státních institucí v oblasti podpory a dotací pro ICT sektor - ani ne tak z hlediska jejich využití, ale spíše vzhledem k jejich potenciálním dopadům na hospodářskou soutěž v ICT sektoru (vzhledem k tomu, že možné narušení hospodářské soutěže </w:t>
      </w:r>
      <w:r>
        <w:lastRenderedPageBreak/>
        <w:t>v důsledku nesystémových dotací považovala většina respondentů v rámci této studie za větší problém než neexistenci specializovaných produktů a pobídek pro internetové podniky.</w:t>
      </w:r>
    </w:p>
    <w:p w:rsidR="00CF6076" w:rsidRDefault="00CF6076" w:rsidP="00982F4E">
      <w:pPr>
        <w:pStyle w:val="Nadpis3"/>
        <w:numPr>
          <w:ilvl w:val="2"/>
          <w:numId w:val="1"/>
        </w:numPr>
        <w:spacing w:line="360" w:lineRule="auto"/>
      </w:pPr>
      <w:bookmarkStart w:id="41" w:name="_Toc368040309"/>
      <w:r>
        <w:t>Infrastruktura</w:t>
      </w:r>
      <w:bookmarkEnd w:id="41"/>
    </w:p>
    <w:p w:rsidR="00CF6076" w:rsidRDefault="00CF6076" w:rsidP="00982F4E">
      <w:pPr>
        <w:spacing w:line="360" w:lineRule="auto"/>
      </w:pPr>
      <w:r>
        <w:t xml:space="preserve">Konzultace i výsledky Global Information Technogy Report 2013 naznačují, že infrastruktura v ČR zatím není problém ani ve vztahu k rozvodným sítím ani ve vztahu k širokopásmovému internetu a mobilnímu připojení. Samozřejmě, překážkou plného rozvoje internetové ekonomiky je dostupnost kvalitního pokrytí ve venkovských oblastech, nicméně tento problém je podle většiny respondentů postupně odbouráván. </w:t>
      </w:r>
    </w:p>
    <w:p w:rsidR="00CF6076" w:rsidRDefault="00CF6076" w:rsidP="00982F4E">
      <w:pPr>
        <w:spacing w:line="360" w:lineRule="auto"/>
      </w:pPr>
      <w:r>
        <w:t xml:space="preserve">Dle Global Information Technology Report 2013 je jediným ukazatelem, v němž se ČR na globální úrovni nejeví příliš konkurenceschopná, ceny připojení (mobilní tarify 114./144 a tarify za širokopásmový internet 100./144). Na druhou stranu, v tomto roce se uskutečnily v ČR zásadní změny na trhu mobilního připojení, které tento problém pravděpodobně budou značně redukovat. </w:t>
      </w:r>
    </w:p>
    <w:p w:rsidR="00982F4E" w:rsidRPr="00540FA4" w:rsidRDefault="00540FA4" w:rsidP="00982F4E">
      <w:pPr>
        <w:spacing w:line="360" w:lineRule="auto"/>
        <w:rPr>
          <w:i/>
        </w:rPr>
      </w:pPr>
      <w:r w:rsidRPr="00540FA4">
        <w:rPr>
          <w:i/>
        </w:rPr>
        <w:t>„S infrastrukturou jsme nikdy neměli v ČR problém. Nicméně pokud mají být třeba veřejné služby nebo vzdělávání na internetu, je třeba, aby bylo slušné připojení v každé vesnici. K tomu by mohla pomoci podpora broadbandu z EU.“</w:t>
      </w:r>
      <w:r>
        <w:rPr>
          <w:rStyle w:val="Znakapoznpodarou"/>
          <w:i/>
        </w:rPr>
        <w:footnoteReference w:id="52"/>
      </w:r>
    </w:p>
    <w:p w:rsidR="00CF6076" w:rsidRPr="00C71AE7" w:rsidRDefault="00CF6076" w:rsidP="00982F4E">
      <w:pPr>
        <w:spacing w:line="360" w:lineRule="auto"/>
        <w:rPr>
          <w:b/>
        </w:rPr>
      </w:pPr>
      <w:r>
        <w:rPr>
          <w:b/>
        </w:rPr>
        <w:t>Doporučení</w:t>
      </w:r>
    </w:p>
    <w:p w:rsidR="00CF6076" w:rsidRDefault="00CF6076" w:rsidP="00982F4E">
      <w:pPr>
        <w:pStyle w:val="Odstavecseseznamem"/>
        <w:numPr>
          <w:ilvl w:val="0"/>
          <w:numId w:val="43"/>
        </w:numPr>
        <w:spacing w:line="360" w:lineRule="auto"/>
      </w:pPr>
      <w:r>
        <w:t>Podporovat iniciativy směřující ke zvýšení dostupnosti internetového připojení i ve venkovských oblastech (například v rámci kohezní politiky a nového programového období EU fondů 2014 – 2020)</w:t>
      </w:r>
    </w:p>
    <w:p w:rsidR="00CF6076" w:rsidRDefault="00CF6076" w:rsidP="00982F4E">
      <w:pPr>
        <w:pStyle w:val="Nadpis3"/>
        <w:numPr>
          <w:ilvl w:val="2"/>
          <w:numId w:val="1"/>
        </w:numPr>
        <w:spacing w:line="360" w:lineRule="auto"/>
      </w:pPr>
      <w:bookmarkStart w:id="42" w:name="_Toc368040310"/>
      <w:r>
        <w:t>Daně a poplatky a vymahatelnost práva</w:t>
      </w:r>
      <w:bookmarkEnd w:id="42"/>
    </w:p>
    <w:p w:rsidR="00540FA4" w:rsidRDefault="00CF6076" w:rsidP="00982F4E">
      <w:pPr>
        <w:spacing w:line="360" w:lineRule="auto"/>
      </w:pPr>
      <w:r>
        <w:t xml:space="preserve">Tyto dvě problémové oblasti jsou obecného charakteru. Vysoká daňová zátěž a obtížná vymahatelnost práva (ještě ztížená rychle se měnící legislativou) jsou obecné problémy, které ztěžují podnikání v ČR a pochopitelně způsobují problémy i podnikům v internetové ekonomice. Podle Global Information Technology Report 2013 je z hlediska daňového zatížení 110./144 zemí (odhadované zatížení celkové daňové kvóty na ziscích v % je 49,2%). </w:t>
      </w:r>
    </w:p>
    <w:p w:rsidR="00540FA4" w:rsidRPr="00540FA4" w:rsidRDefault="00540FA4" w:rsidP="00982F4E">
      <w:pPr>
        <w:spacing w:line="360" w:lineRule="auto"/>
        <w:rPr>
          <w:i/>
        </w:rPr>
      </w:pPr>
      <w:r w:rsidRPr="00540FA4">
        <w:rPr>
          <w:i/>
        </w:rPr>
        <w:t>„Velký problém jsou nepředvídatelné změny daní, a především to, co za zaplacené daně dostáváme.“</w:t>
      </w:r>
      <w:r w:rsidRPr="00540FA4">
        <w:rPr>
          <w:rStyle w:val="Znakapoznpodarou"/>
          <w:i/>
        </w:rPr>
        <w:footnoteReference w:id="53"/>
      </w:r>
    </w:p>
    <w:p w:rsidR="00CF6076" w:rsidRDefault="00CF6076" w:rsidP="00982F4E">
      <w:pPr>
        <w:spacing w:line="360" w:lineRule="auto"/>
      </w:pPr>
      <w:r>
        <w:t xml:space="preserve">Nicméně samotná daňová zátěž není na překážku rozvoje internetové ekonomiky – například Estonsko, které má digitální agendu jako vládní prioritu a z nových členských států EU je </w:t>
      </w:r>
      <w:r>
        <w:lastRenderedPageBreak/>
        <w:t xml:space="preserve">považováno za špičku v rozvoji ICT (22./144 celková pozice na světě), má odhadovanou daňovou zátěž na ziscích 67%, Finsko, které je první na světě v hodnocení Global Information Technology Report 2013 má odhadovanou zátěž více než 40%. Pro rozvoj internetové ekonomiky je daleko podstatnější, jakým způsobem jsou vynakládány vládní výdaje a k čemu slouží, jaké je celkové podnikatelské prostředí a jaká je vstřícnost legislativy k podnikání i k rozvoji internetové ekonomiky. Jak již bylo řečeno výše, z hlediska legislativy je Česká republika k internetové ekonomice velmi nevstřícná. </w:t>
      </w:r>
    </w:p>
    <w:p w:rsidR="00CF6076" w:rsidRDefault="00CF6076" w:rsidP="00982F4E">
      <w:pPr>
        <w:spacing w:line="360" w:lineRule="auto"/>
      </w:pPr>
      <w:r>
        <w:t>Bohužel v ČR je velmi problematické i celkové podnikatelské prostředí a vymahatelnost práva. Pokud se podíváme na dobu potřebnou pro zahájení podnikání (Doing Business Světové Banky 2013), což je velmi důležitý faktor pro rozvoj podnikání v technologických, dynamických odvětvích. Z hlediska procedur k zahájení podnikání je ČR 102./144, z hlediska času nutného k zahájení podnikání je ČR 87./144. Podobně nepříznivý je i čas nutný k vymáhání práva – v tomto ukazateli se ČR umístila na 93. místě ze 144 hodnocených zemí. Naopak státy jako je Estonsko nebo Finsko a obecně země, které se v Global Information Technology Report 2013 umisťují na předních pozicích a reálně patří na mezinárodní úrovni v oblasti rozvoje internetové ekonomiky mezi špičku, jsou v drtivé většině rovněž velmi vstřícné k podnikání a mají dobrou vymahatelnost práva. Lze tedy shrnout, že i u odvodů do veřejných rozpočtů platí, že je třeba zachovávat poměr ceny ku výkonu. Vysoké odvody obecně tedy znamenají menší problém v zemích, kde jsou za ně poskytované kvalitní veřejné služby a kde je stát vynakládá efektivně.</w:t>
      </w:r>
    </w:p>
    <w:p w:rsidR="00CF6076" w:rsidRPr="003963DE" w:rsidRDefault="00CF6076" w:rsidP="00982F4E">
      <w:pPr>
        <w:spacing w:line="360" w:lineRule="auto"/>
        <w:rPr>
          <w:b/>
        </w:rPr>
      </w:pPr>
      <w:r>
        <w:rPr>
          <w:b/>
        </w:rPr>
        <w:t>Doporučení</w:t>
      </w:r>
    </w:p>
    <w:p w:rsidR="00CF6076" w:rsidRDefault="00CF6076" w:rsidP="00982F4E">
      <w:pPr>
        <w:spacing w:line="360" w:lineRule="auto"/>
      </w:pPr>
      <w:r>
        <w:t>Obecným doporučením v této oblasti je aktivně komunikovat vůči vládě a politické reprezentaci jednak význam internetové ekonomiky z hlediska zaměstnanosti, tvorby přidané hodnoty, vlastního výzkumu a vývoje, exportu a investic a rovněž komunikovat fakt, že internetové podniky jsou vesměs velmi mobilní, co se týče sídla a realizace řídících aktivit. V případě zhoršení podnikatelského klimatu hrozí, že se těžiště aktivit internetových podniků přesune mimo ČR – což by mohlo mít pro českou ekonomiku velmi negativní důsledky.</w:t>
      </w:r>
    </w:p>
    <w:p w:rsidR="00CF6076" w:rsidRPr="00F27DAD" w:rsidRDefault="00CF6076" w:rsidP="00982F4E">
      <w:pPr>
        <w:pStyle w:val="Nadpis3"/>
        <w:numPr>
          <w:ilvl w:val="2"/>
          <w:numId w:val="1"/>
        </w:numPr>
        <w:spacing w:line="360" w:lineRule="auto"/>
      </w:pPr>
      <w:bookmarkStart w:id="43" w:name="_Toc368040311"/>
      <w:r w:rsidRPr="00F27DAD">
        <w:t>Digitální gramotnost a základní uživatelské dovednosti</w:t>
      </w:r>
      <w:bookmarkEnd w:id="43"/>
    </w:p>
    <w:p w:rsidR="00CF6076" w:rsidRDefault="00CF6076" w:rsidP="00982F4E">
      <w:pPr>
        <w:spacing w:line="360" w:lineRule="auto"/>
      </w:pPr>
      <w:r w:rsidRPr="00F27DAD">
        <w:t xml:space="preserve">Digitální gramotnost je v kontextu dnešního světa nutností, protože schopnost využívat efektivním způsobem moderní informační a komunikační technologie a rychle se adaptovat na nové, měnící se trendy v této oblasti umožňuje člověku být produktivnější, efektivnější, lépe shromažďovat a pracovat s informacemi a být konkurenceschopnější na trhu práce. Digitální gramotnost lze v dnešní době bez uzardění zařadit mezi základní dovednosti – podobně jako čtení, psaní nebo počítání či základní občanské a společenské kompetence. </w:t>
      </w:r>
    </w:p>
    <w:p w:rsidR="00CF6076" w:rsidRPr="0049025D" w:rsidRDefault="00CF6076" w:rsidP="00982F4E">
      <w:pPr>
        <w:spacing w:line="360" w:lineRule="auto"/>
        <w:rPr>
          <w:b/>
        </w:rPr>
      </w:pPr>
      <w:r>
        <w:rPr>
          <w:b/>
        </w:rPr>
        <w:lastRenderedPageBreak/>
        <w:t>Digitální gramotnost dětí a mládeže</w:t>
      </w:r>
    </w:p>
    <w:p w:rsidR="00CF6076" w:rsidRDefault="00CF6076" w:rsidP="00982F4E">
      <w:pPr>
        <w:spacing w:line="360" w:lineRule="auto"/>
      </w:pPr>
      <w:r>
        <w:t>Podle údajů ze studie Ministerstva školství, mládeže a tělovýchovy (MŠMT)</w:t>
      </w:r>
      <w:r>
        <w:rPr>
          <w:rStyle w:val="Znakapoznpodarou"/>
        </w:rPr>
        <w:footnoteReference w:id="54"/>
      </w:r>
      <w:r>
        <w:t xml:space="preserve"> byla výpočetní technika zařazena do osnov již v roce 1991, nicméně výrazněji se implementace tohoto oboru začala projevovat až v roce 1994. V letech 1996 – 2000 byl tento vzdělávací program výrazně inovován (až z 80 %), po roce 2002 již inovace ve výuce výpočetní techniky poklesly. Zpráva konstatuje, že po roce 2002 už zásadní inovace programů proběhly a výuka výpočetní techniky byla dostatečně zavedena do osnov (obvykle 1 rok v dotaci 2 – 3 hodiny týdně v rámci střední školy). Vzhledem k tehdejší dostupnosti výpočetní techniky a připojení na internet však lze předpokládat (a vyplývá to i ze zkušenosti zpracovatelů této studie), že tato výuka nebyla příliš rozvinutá a omezovala se pouze na velmi základní práci s počítačem a spíše než na praxi, na teorii výpočetní techniky. </w:t>
      </w:r>
    </w:p>
    <w:p w:rsidR="00CF6076" w:rsidRPr="00F27DAD" w:rsidRDefault="00CF6076" w:rsidP="00982F4E">
      <w:pPr>
        <w:spacing w:line="360" w:lineRule="auto"/>
      </w:pPr>
      <w:r>
        <w:t>Podle informací z </w:t>
      </w:r>
      <w:r w:rsidRPr="00F27DAD">
        <w:t>metodické</w:t>
      </w:r>
      <w:r>
        <w:t xml:space="preserve">ho </w:t>
      </w:r>
      <w:r w:rsidRPr="00F27DAD">
        <w:t>portálu učitelů</w:t>
      </w:r>
      <w:r w:rsidRPr="00F27DAD">
        <w:rPr>
          <w:rStyle w:val="Znakapoznpodarou"/>
        </w:rPr>
        <w:footnoteReference w:id="55"/>
      </w:r>
      <w:r>
        <w:t xml:space="preserve"> byla digitální gramotnost v rámci výuky nejnověji obměněna v</w:t>
      </w:r>
      <w:r w:rsidRPr="00F27DAD">
        <w:t xml:space="preserve"> Rámcov</w:t>
      </w:r>
      <w:r>
        <w:t>ém</w:t>
      </w:r>
      <w:r w:rsidRPr="00F27DAD">
        <w:t xml:space="preserve"> vzdělávací</w:t>
      </w:r>
      <w:r>
        <w:t>m</w:t>
      </w:r>
      <w:r w:rsidRPr="00F27DAD">
        <w:t xml:space="preserve"> program</w:t>
      </w:r>
      <w:r>
        <w:t>u</w:t>
      </w:r>
      <w:r w:rsidRPr="00F27DAD">
        <w:t xml:space="preserve"> pro základní a gymnaziální vzdělávání</w:t>
      </w:r>
      <w:r>
        <w:t xml:space="preserve"> v roce 2007</w:t>
      </w:r>
      <w:r w:rsidRPr="00F27DAD">
        <w:t>. V</w:t>
      </w:r>
      <w:r>
        <w:t xml:space="preserve"> tomto</w:t>
      </w:r>
      <w:r w:rsidRPr="00F27DAD">
        <w:t xml:space="preserve"> Rámcovém vzdělávacím programu pro základní vzdělávání (VÚP v Praze 2007) se v charakteristice vzdělávací oblasti Informační a komunikační technologie uvádí, že </w:t>
      </w:r>
      <w:r w:rsidRPr="00F27DAD">
        <w:rPr>
          <w:i/>
        </w:rPr>
        <w:t>vzdělávací oblast Informační a komunikační technologie umožňuje všem žákům dosáhnout základní úrovně informační gramotnosti – získat elementární dovednosti v ovládání výpočetní techniky a moderních informačních technologií, orientovat se ve světě informací, tvořivě pracovat s informacemi a využívat je při dalším vzdělávání i v praktickém životě.</w:t>
      </w:r>
      <w:r w:rsidRPr="00F27DAD">
        <w:t xml:space="preserve"> V Rámcovém vzdělávacím programu pro gymnázia (VÚP v Praze 2007) se v charakteristice vzdělávací oblasti Informatika a informační a komunikační technologie uvádí, že </w:t>
      </w:r>
      <w:r w:rsidRPr="00F27DAD">
        <w:rPr>
          <w:i/>
        </w:rPr>
        <w:t>oblast Informatika a informační a komunikační technologie (dále jen Informatika a ICT) na gymnáziu navazuje na oblast ICT v základním vzdělávání zaměřenou na zvládnutí základní úrovně informační gramotnosti, tj. na dosažení znalostí a dovedností nezbytných k využití digitálních technologií.</w:t>
      </w:r>
    </w:p>
    <w:p w:rsidR="00CF6076" w:rsidRPr="00F27DAD" w:rsidRDefault="00CF6076" w:rsidP="00982F4E">
      <w:pPr>
        <w:spacing w:line="360" w:lineRule="auto"/>
      </w:pPr>
      <w:r w:rsidRPr="00F27DAD">
        <w:t>Digitální (resp. ICT) gramotnost je pak pro potřeby výuky definována následujícím způsobem:</w:t>
      </w:r>
    </w:p>
    <w:p w:rsidR="00CF6076" w:rsidRPr="00F27DAD" w:rsidRDefault="00CF6076" w:rsidP="00982F4E">
      <w:pPr>
        <w:spacing w:line="360" w:lineRule="auto"/>
        <w:rPr>
          <w:i/>
        </w:rPr>
      </w:pPr>
      <w:r w:rsidRPr="00F27DAD">
        <w:rPr>
          <w:i/>
        </w:rPr>
        <w:t>ICT gramotností, gramotností v oblasti informačních a komunikačních technologií, rozumíme soubor kompetencí, které jedinec potřebuje, aby byl schopen se rozhodnout jak, kdy a proč použít dostupné ICT a poté je účelně použít při řešení různých situací při učení i v životě v měnícím se světě.</w:t>
      </w:r>
    </w:p>
    <w:p w:rsidR="00CF6076" w:rsidRPr="00F27DAD" w:rsidRDefault="00CF6076" w:rsidP="00982F4E">
      <w:pPr>
        <w:spacing w:line="360" w:lineRule="auto"/>
      </w:pPr>
      <w:r w:rsidRPr="00F27DAD">
        <w:t>ICT gramotnost zahrnuje:</w:t>
      </w:r>
    </w:p>
    <w:p w:rsidR="00CF6076" w:rsidRPr="00F27DAD" w:rsidRDefault="00CF6076" w:rsidP="00982F4E">
      <w:pPr>
        <w:pStyle w:val="Odstavecseseznamem"/>
        <w:numPr>
          <w:ilvl w:val="0"/>
          <w:numId w:val="34"/>
        </w:numPr>
        <w:spacing w:line="360" w:lineRule="auto"/>
        <w:rPr>
          <w:i/>
        </w:rPr>
      </w:pPr>
      <w:r w:rsidRPr="00F27DAD">
        <w:rPr>
          <w:i/>
        </w:rPr>
        <w:t>praktické dovednosti a vědomosti, které jedinci umožňují s porozuměním a účinně používat jednotlivé ICT,</w:t>
      </w:r>
    </w:p>
    <w:p w:rsidR="00CF6076" w:rsidRPr="00F27DAD" w:rsidRDefault="00CF6076" w:rsidP="00982F4E">
      <w:pPr>
        <w:pStyle w:val="Odstavecseseznamem"/>
        <w:numPr>
          <w:ilvl w:val="0"/>
          <w:numId w:val="34"/>
        </w:numPr>
        <w:spacing w:line="360" w:lineRule="auto"/>
        <w:rPr>
          <w:i/>
        </w:rPr>
      </w:pPr>
      <w:r w:rsidRPr="00F27DAD">
        <w:rPr>
          <w:i/>
        </w:rPr>
        <w:lastRenderedPageBreak/>
        <w:t>schopnost s využitím ICT shromáždit, analyzovat, kriticky vyhodnotit a použít informace,</w:t>
      </w:r>
    </w:p>
    <w:p w:rsidR="00CF6076" w:rsidRPr="00F27DAD" w:rsidRDefault="00CF6076" w:rsidP="00982F4E">
      <w:pPr>
        <w:pStyle w:val="Odstavecseseznamem"/>
        <w:numPr>
          <w:ilvl w:val="0"/>
          <w:numId w:val="34"/>
        </w:numPr>
        <w:spacing w:line="360" w:lineRule="auto"/>
        <w:rPr>
          <w:i/>
        </w:rPr>
      </w:pPr>
      <w:r w:rsidRPr="00F27DAD">
        <w:rPr>
          <w:i/>
        </w:rPr>
        <w:t>schopnost využít ICT v různých kontextech a k různým účelům na základě porozumění pojmům, konceptům, systémům a operacím z oblasti ICT,</w:t>
      </w:r>
    </w:p>
    <w:p w:rsidR="00CF6076" w:rsidRPr="00F27DAD" w:rsidRDefault="00CF6076" w:rsidP="00982F4E">
      <w:pPr>
        <w:pStyle w:val="Odstavecseseznamem"/>
        <w:numPr>
          <w:ilvl w:val="0"/>
          <w:numId w:val="34"/>
        </w:numPr>
        <w:spacing w:line="360" w:lineRule="auto"/>
        <w:rPr>
          <w:i/>
        </w:rPr>
      </w:pPr>
      <w:r w:rsidRPr="00F27DAD">
        <w:rPr>
          <w:i/>
        </w:rPr>
        <w:t>vědomosti, dovednosti, schopnosti, postoje a hodnoty, které vedou k zodpovědnému a bezpečnému využití ICT,</w:t>
      </w:r>
    </w:p>
    <w:p w:rsidR="00CF6076" w:rsidRPr="00F27DAD" w:rsidRDefault="00CF6076" w:rsidP="00982F4E">
      <w:pPr>
        <w:pStyle w:val="Odstavecseseznamem"/>
        <w:numPr>
          <w:ilvl w:val="0"/>
          <w:numId w:val="34"/>
        </w:numPr>
        <w:spacing w:line="360" w:lineRule="auto"/>
        <w:rPr>
          <w:i/>
        </w:rPr>
      </w:pPr>
      <w:r w:rsidRPr="00F27DAD">
        <w:rPr>
          <w:i/>
        </w:rPr>
        <w:t>schopnost přijímat nové podněty v oblasti ICT a kriticky je posuzovat, porozumění rychlému vývoji technologií, jejich významu pro osobní rozvoj a jejich vlivu na společnost.</w:t>
      </w:r>
    </w:p>
    <w:p w:rsidR="00CF6076" w:rsidRPr="00577C50" w:rsidRDefault="00CF6076" w:rsidP="00982F4E">
      <w:pPr>
        <w:spacing w:line="360" w:lineRule="auto"/>
      </w:pPr>
      <w:r w:rsidRPr="00F27DAD">
        <w:rPr>
          <w:i/>
        </w:rPr>
        <w:t>První dvě složky lze chápat jako základní stavební kameny ICT gramotnosti. První představuje požadavek ovládat aktuálně a běžně používané technické prostředky jak materiální povahy (hardware), tak nemateriální povahy (software). Druhá představuje nezbytnost vyrovnat se s faktem, že rozvoj technologií změnil zásadním způsobem dostupnost informací, tím i způsoby, jak informace nahlížet, přistupovat k nim a pracovat s nimi.</w:t>
      </w:r>
    </w:p>
    <w:p w:rsidR="00CF6076" w:rsidRDefault="00CF6076" w:rsidP="00982F4E">
      <w:pPr>
        <w:spacing w:line="360" w:lineRule="auto"/>
      </w:pPr>
      <w:r>
        <w:t xml:space="preserve">Evropská studie Survey of Schools ICT in Education z roku 2013 naznačuje, že z hlediska vybavenosti českých škol výpočetní technikou je ČR nad průměrem EU – jak z hlediska dostupnosti počítačové techniky, tak z hlediska dostupnosti připojení, využívání interaktivních tabulí apod. (podle zmíněné studie je přes 90 % škol vybaveno počítači a připojením k internetu, kvalita vybavení je vyšší na středních školách, nicméně slušně vybavené jsou i školy základní – zejména na druhém stupni). Počítače obvykle bývají soustředěny v počítačových učebnách (na rozdíl např. od skandinávských zemí, kde jsou počítače obvykle umístěny v běžných třídách nebo mají žáci své vlastní počítače). </w:t>
      </w:r>
    </w:p>
    <w:p w:rsidR="00CF6076" w:rsidRDefault="00CF6076" w:rsidP="00982F4E">
      <w:pPr>
        <w:spacing w:line="360" w:lineRule="auto"/>
      </w:pPr>
      <w:r>
        <w:t xml:space="preserve">Rovněž z hlediska využívání výpočetní techniky na českých školách je Česká republika lehce nad průměrem EU. Podle citované studie v ČR přibližně 10 % studentů středních škol využívá výpočetní techniku ve více než 50 % času vyučování, dalších cca. 10 % používá výpočetní techniku v 25 – 49 % vyučování a cca. 72 % studentů středních škol využívá výpočetní techniku v rozsahu 1 – 24 % času vyučování, pouze zhruba 8 % studentů středních škol výpočetní techniku v zásadě nevyužívá. </w:t>
      </w:r>
    </w:p>
    <w:p w:rsidR="00CF6076" w:rsidRDefault="00CF6076" w:rsidP="00982F4E">
      <w:pPr>
        <w:spacing w:line="360" w:lineRule="auto"/>
      </w:pPr>
      <w:r>
        <w:t>Co se týče pedagogů a jejich práce s výpočetní technikou – zejména jejich dovedností, proaktivního přístupu a důvěry ve vlastní schopnosti, je ve většině hodnocených ukazatelů ČR na průměru EU, nicméně vybavenost již není tak přesvědčivá, jako v případě materiálního v</w:t>
      </w:r>
      <w:r w:rsidR="00F11E74">
        <w:t>ybavení škol</w:t>
      </w:r>
      <w:r>
        <w:t xml:space="preserve">. Zejména na úrovni základních škol se ukazuje, že jejich vybavení výpočetní technikou (a důrazem na její výuku reflektovaným v učebních plánech) je podstatně vyšší než míra podpory samotné výuky výpočetní techniky ze strany pedagogů (podporou se rozumí schopnosti a ochota učitelů aktivně výpočetní techniku využívat ve výuce a jejich důvěra ve vlastní schopnost efektivně ICT využít). Na středních školách pak z hlediska tohoto ukazatele je ČR mírně pod </w:t>
      </w:r>
      <w:r>
        <w:lastRenderedPageBreak/>
        <w:t xml:space="preserve">průměrem EU, nicméně na druhou stranu spíše na křivce efektivního využívání výpočetní techniky – což znamená, že vybavenost výpočetní technikou zhruba koresponduje </w:t>
      </w:r>
      <w:r w:rsidR="00F11E74">
        <w:t xml:space="preserve">s </w:t>
      </w:r>
      <w:r>
        <w:t>dostupností pedagogů schopných ji využívat</w:t>
      </w:r>
      <w:r>
        <w:rPr>
          <w:rStyle w:val="Znakapoznpodarou"/>
        </w:rPr>
        <w:footnoteReference w:id="56"/>
      </w:r>
      <w:r>
        <w:t>.</w:t>
      </w:r>
    </w:p>
    <w:p w:rsidR="00CF6076" w:rsidRDefault="00CF6076" w:rsidP="00982F4E">
      <w:pPr>
        <w:spacing w:line="360" w:lineRule="auto"/>
      </w:pPr>
      <w:r>
        <w:t xml:space="preserve">Co se týče vzdělávání pedagogů, je třeba říct, že podle citované EU studie se většina pedagogů ve výpočetní technice vzdělává v rámci kurzů, které jsou součástí jejich celoživotního vzdělávání. Servis a školení v užívání nové výpočetní techniky provádí školy především prostřednictvím svých vlastních zaměstnanců. Z hlediska dovedností učitelů ČR lehce zaostává ve využití nových aplikací. </w:t>
      </w:r>
    </w:p>
    <w:p w:rsidR="0070080D" w:rsidRDefault="00CF6076" w:rsidP="00982F4E">
      <w:pPr>
        <w:spacing w:line="360" w:lineRule="auto"/>
      </w:pPr>
      <w:r>
        <w:t>Z hlediska lidských zdrojů je ještě nutno konstatovat, že čeští studenti jsou z hlediska podpory digitálních technologií na úrovni EU, co se týče schopností a dovedností ve výpočetní technice lehce nad EU průměrem a jejich ICT schopnosti jsou výrazně vyšší než v případě učitelů</w:t>
      </w:r>
      <w:r>
        <w:rPr>
          <w:rStyle w:val="Znakapoznpodarou"/>
        </w:rPr>
        <w:footnoteReference w:id="57"/>
      </w:r>
      <w:r>
        <w:t>, což je alarmující.</w:t>
      </w:r>
    </w:p>
    <w:p w:rsidR="00CF6076" w:rsidRPr="00EA2B98" w:rsidRDefault="00CF6076" w:rsidP="00982F4E">
      <w:pPr>
        <w:spacing w:line="360" w:lineRule="auto"/>
      </w:pPr>
      <w:r>
        <w:t xml:space="preserve">Co se týče obecné aktivity </w:t>
      </w:r>
      <w:r w:rsidRPr="00F27DAD">
        <w:t>českých dětí a mladistvých se na internetu zvyšuje, což ostatně ukazují statistiky Evropské komise v publikaci Youth in Europe (2012).</w:t>
      </w:r>
      <w:r>
        <w:t xml:space="preserve"> Mezi lety 2006 až 2011 se podíl mládeže denně využívající počítač zvýšil z necelých 50 % na cca. 80 %, podobný a ještě razantnější nárůst zaznamenalo i využívání přenosných přístrojů či sociálních sítí. </w:t>
      </w:r>
    </w:p>
    <w:p w:rsidR="00CF6076" w:rsidRPr="00EA2B98" w:rsidRDefault="00CF6076" w:rsidP="00982F4E">
      <w:pPr>
        <w:spacing w:line="360" w:lineRule="auto"/>
      </w:pPr>
      <w:r w:rsidRPr="00EA2B98">
        <w:t>Ještě zajímavější je pak zjištění v té samé zprávě, které konstatuje, že mladí lidé – zejména ti s vyšším dosažením vzděláním si uvědomují, že schopnost pracovat s internetem jim může umožnit být konkurenceschopnější v porovnání s vrstevníky a najít si na trhu práce lépe placenou a zajímavější pracovní pozici.</w:t>
      </w:r>
      <w:r>
        <w:t xml:space="preserve"> Zatímco podíl osob se základním vzděláním (nejvyšší dokončené), který si myslí, že jim dovednosti v práci s počítačem a internetem pomohou v profesním životě, je cca. 50 %, u dokončeného středního vzdělání jde již o 75 % a ve skupině osob s vysokoškolským vzděláním jde o podíl cca 85 %.</w:t>
      </w:r>
    </w:p>
    <w:p w:rsidR="00CF6076" w:rsidRDefault="00CF6076" w:rsidP="00982F4E">
      <w:pPr>
        <w:spacing w:line="360" w:lineRule="auto"/>
      </w:pPr>
      <w:r w:rsidRPr="00EA2B98">
        <w:t>Jak ukazuje následující evropské srovnání, je výuka digitální gramotnosti na školách v ČR o to podstatnější, že jde o hlavní zdroj informací o internetu a ICT, kteří čeští studenti využívají. V kohortě 16 – 24 let v EU výrazně nadprůměrných 91</w:t>
      </w:r>
      <w:r>
        <w:t xml:space="preserve"> </w:t>
      </w:r>
      <w:r w:rsidRPr="00EA2B98">
        <w:t>% osob získává IT dovednosti v rámci vzdělávání ve školské soustavě (viz tabulka níže). Naopak podíl osob, ve věku 16 – 24 let, které si IT dovednosti osvojily samy (samostatným učením), je v ČR velmi nízký v porovnání se zbytkem EU. To je zřejmě dáno koncepcí vzdělávání v ČR, kdy důraz se klade (a to i po dvaceti letech pokusů o reformy) na učení se zpaměti, nikoliv na schopnost získávat a aktivně pracovat s informacemi.</w:t>
      </w:r>
    </w:p>
    <w:p w:rsidR="00CF6076" w:rsidRDefault="00CF6076" w:rsidP="00982F4E">
      <w:pPr>
        <w:pStyle w:val="Titulek"/>
        <w:keepNext/>
        <w:spacing w:line="360" w:lineRule="auto"/>
      </w:pPr>
      <w:r>
        <w:lastRenderedPageBreak/>
        <w:t xml:space="preserve">Tabulka </w:t>
      </w:r>
      <w:fldSimple w:instr=" SEQ Tabulka \* ARABIC ">
        <w:r>
          <w:rPr>
            <w:noProof/>
          </w:rPr>
          <w:t>2</w:t>
        </w:r>
      </w:fldSimple>
      <w:r>
        <w:t>: Porovnání způsobů získávání e-Skills (2011)</w:t>
      </w:r>
    </w:p>
    <w:tbl>
      <w:tblPr>
        <w:tblW w:w="9015" w:type="dxa"/>
        <w:tblInd w:w="55" w:type="dxa"/>
        <w:tblCellMar>
          <w:left w:w="70" w:type="dxa"/>
          <w:right w:w="70" w:type="dxa"/>
        </w:tblCellMar>
        <w:tblLook w:val="04A0"/>
      </w:tblPr>
      <w:tblGrid>
        <w:gridCol w:w="2992"/>
        <w:gridCol w:w="1164"/>
        <w:gridCol w:w="1308"/>
        <w:gridCol w:w="1214"/>
        <w:gridCol w:w="1163"/>
        <w:gridCol w:w="1174"/>
      </w:tblGrid>
      <w:tr w:rsidR="00CF6076" w:rsidRPr="00711FC0" w:rsidTr="00EE3CDC">
        <w:trPr>
          <w:trHeight w:val="285"/>
        </w:trPr>
        <w:tc>
          <w:tcPr>
            <w:tcW w:w="2992" w:type="dxa"/>
            <w:tcBorders>
              <w:top w:val="single" w:sz="4" w:space="0" w:color="000000"/>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sidRPr="00711FC0">
              <w:rPr>
                <w:rFonts w:ascii="Arial" w:eastAsia="Times New Roman" w:hAnsi="Arial" w:cs="Arial"/>
                <w:sz w:val="16"/>
                <w:szCs w:val="16"/>
                <w:lang w:eastAsia="cs-CZ"/>
              </w:rPr>
              <w:t xml:space="preserve">kohorta 16 </w:t>
            </w:r>
            <w:r>
              <w:rPr>
                <w:rFonts w:ascii="Arial" w:eastAsia="Times New Roman" w:hAnsi="Arial" w:cs="Arial"/>
                <w:sz w:val="16"/>
                <w:szCs w:val="16"/>
                <w:lang w:eastAsia="cs-CZ"/>
              </w:rPr>
              <w:t>–</w:t>
            </w:r>
            <w:r w:rsidRPr="00711FC0">
              <w:rPr>
                <w:rFonts w:ascii="Arial" w:eastAsia="Times New Roman" w:hAnsi="Arial" w:cs="Arial"/>
                <w:sz w:val="16"/>
                <w:szCs w:val="16"/>
                <w:lang w:eastAsia="cs-CZ"/>
              </w:rPr>
              <w:t xml:space="preserve"> 24</w:t>
            </w:r>
            <w:r>
              <w:rPr>
                <w:rFonts w:ascii="Arial" w:eastAsia="Times New Roman" w:hAnsi="Arial" w:cs="Arial"/>
                <w:sz w:val="16"/>
                <w:szCs w:val="16"/>
                <w:lang w:eastAsia="cs-CZ"/>
              </w:rPr>
              <w:t xml:space="preserve"> let</w:t>
            </w:r>
          </w:p>
        </w:tc>
        <w:tc>
          <w:tcPr>
            <w:tcW w:w="1164" w:type="dxa"/>
            <w:tcBorders>
              <w:top w:val="single" w:sz="4" w:space="0" w:color="000000"/>
              <w:left w:val="nil"/>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sidRPr="00711FC0">
              <w:rPr>
                <w:rFonts w:ascii="Arial" w:eastAsia="Times New Roman" w:hAnsi="Arial" w:cs="Arial"/>
                <w:sz w:val="16"/>
                <w:szCs w:val="16"/>
                <w:lang w:eastAsia="cs-CZ"/>
              </w:rPr>
              <w:t>Osoby, které získaly IT dovednosti v rámci formálního školního vzdělávání</w:t>
            </w:r>
          </w:p>
        </w:tc>
        <w:tc>
          <w:tcPr>
            <w:tcW w:w="1308" w:type="dxa"/>
            <w:tcBorders>
              <w:top w:val="single" w:sz="4" w:space="0" w:color="000000"/>
              <w:left w:val="nil"/>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sidRPr="00711FC0">
              <w:rPr>
                <w:rFonts w:ascii="Arial" w:eastAsia="Times New Roman" w:hAnsi="Arial" w:cs="Arial"/>
                <w:sz w:val="16"/>
                <w:szCs w:val="16"/>
                <w:lang w:eastAsia="cs-CZ"/>
              </w:rPr>
              <w:t>Osoby, které získaly IT dovednosti ze své vlastní inciativy v rámci celoživotního vzdělávání</w:t>
            </w:r>
          </w:p>
        </w:tc>
        <w:tc>
          <w:tcPr>
            <w:tcW w:w="1214" w:type="dxa"/>
            <w:tcBorders>
              <w:top w:val="single" w:sz="4" w:space="0" w:color="000000"/>
              <w:left w:val="nil"/>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sidRPr="00711FC0">
              <w:rPr>
                <w:rFonts w:ascii="Arial" w:eastAsia="Times New Roman" w:hAnsi="Arial" w:cs="Arial"/>
                <w:sz w:val="16"/>
                <w:szCs w:val="16"/>
                <w:lang w:eastAsia="cs-CZ"/>
              </w:rPr>
              <w:t>Osoby, které získaly IT dovednosti v rámci pracovní kvalifikace</w:t>
            </w:r>
          </w:p>
        </w:tc>
        <w:tc>
          <w:tcPr>
            <w:tcW w:w="1163" w:type="dxa"/>
            <w:tcBorders>
              <w:top w:val="single" w:sz="4" w:space="0" w:color="000000"/>
              <w:left w:val="nil"/>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sidRPr="00711FC0">
              <w:rPr>
                <w:rFonts w:ascii="Arial" w:eastAsia="Times New Roman" w:hAnsi="Arial" w:cs="Arial"/>
                <w:sz w:val="16"/>
                <w:szCs w:val="16"/>
                <w:lang w:eastAsia="cs-CZ"/>
              </w:rPr>
              <w:t>Osoby, které získaly IT dovednosti v rámci samostudia s využitím učebních materiálů (knihy, CD apod.)</w:t>
            </w:r>
          </w:p>
        </w:tc>
        <w:tc>
          <w:tcPr>
            <w:tcW w:w="1174" w:type="dxa"/>
            <w:tcBorders>
              <w:top w:val="single" w:sz="4" w:space="0" w:color="000000"/>
              <w:left w:val="nil"/>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sidRPr="00711FC0">
              <w:rPr>
                <w:rFonts w:ascii="Arial" w:eastAsia="Times New Roman" w:hAnsi="Arial" w:cs="Arial"/>
                <w:sz w:val="16"/>
                <w:szCs w:val="16"/>
                <w:lang w:eastAsia="cs-CZ"/>
              </w:rPr>
              <w:t>Osoby, které získaly IT dovednosti převážně samostatně metodou pokus-omyl</w:t>
            </w:r>
          </w:p>
        </w:tc>
      </w:tr>
      <w:tr w:rsidR="00CF6076" w:rsidRPr="00711FC0" w:rsidTr="00EE3CDC">
        <w:trPr>
          <w:trHeight w:val="285"/>
        </w:trPr>
        <w:tc>
          <w:tcPr>
            <w:tcW w:w="2992"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EU 28</w:t>
            </w:r>
          </w:p>
        </w:tc>
        <w:tc>
          <w:tcPr>
            <w:tcW w:w="116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72</w:t>
            </w:r>
          </w:p>
        </w:tc>
        <w:tc>
          <w:tcPr>
            <w:tcW w:w="1308"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6</w:t>
            </w:r>
          </w:p>
        </w:tc>
        <w:tc>
          <w:tcPr>
            <w:tcW w:w="121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3</w:t>
            </w:r>
          </w:p>
        </w:tc>
        <w:tc>
          <w:tcPr>
            <w:tcW w:w="1163"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25</w:t>
            </w:r>
          </w:p>
        </w:tc>
        <w:tc>
          <w:tcPr>
            <w:tcW w:w="117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72</w:t>
            </w:r>
          </w:p>
        </w:tc>
      </w:tr>
      <w:tr w:rsidR="00CF6076" w:rsidRPr="00711FC0" w:rsidTr="00EE3CDC">
        <w:trPr>
          <w:trHeight w:val="285"/>
        </w:trPr>
        <w:tc>
          <w:tcPr>
            <w:tcW w:w="2992"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sidRPr="00711FC0">
              <w:rPr>
                <w:rFonts w:ascii="Arial" w:eastAsia="Times New Roman" w:hAnsi="Arial" w:cs="Arial"/>
                <w:sz w:val="16"/>
                <w:szCs w:val="16"/>
                <w:lang w:eastAsia="cs-CZ"/>
              </w:rPr>
              <w:t>E</w:t>
            </w:r>
            <w:r>
              <w:rPr>
                <w:rFonts w:ascii="Arial" w:eastAsia="Times New Roman" w:hAnsi="Arial" w:cs="Arial"/>
                <w:sz w:val="16"/>
                <w:szCs w:val="16"/>
                <w:lang w:eastAsia="cs-CZ"/>
              </w:rPr>
              <w:t>U 27</w:t>
            </w:r>
          </w:p>
        </w:tc>
        <w:tc>
          <w:tcPr>
            <w:tcW w:w="116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72</w:t>
            </w:r>
          </w:p>
        </w:tc>
        <w:tc>
          <w:tcPr>
            <w:tcW w:w="1308"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6</w:t>
            </w:r>
          </w:p>
        </w:tc>
        <w:tc>
          <w:tcPr>
            <w:tcW w:w="121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3</w:t>
            </w:r>
          </w:p>
        </w:tc>
        <w:tc>
          <w:tcPr>
            <w:tcW w:w="1163"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25</w:t>
            </w:r>
          </w:p>
        </w:tc>
        <w:tc>
          <w:tcPr>
            <w:tcW w:w="117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72</w:t>
            </w:r>
          </w:p>
        </w:tc>
      </w:tr>
      <w:tr w:rsidR="00CF6076" w:rsidRPr="00711FC0" w:rsidTr="00EE3CDC">
        <w:trPr>
          <w:trHeight w:val="285"/>
        </w:trPr>
        <w:tc>
          <w:tcPr>
            <w:tcW w:w="2992"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Belgie</w:t>
            </w:r>
          </w:p>
        </w:tc>
        <w:tc>
          <w:tcPr>
            <w:tcW w:w="116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75</w:t>
            </w:r>
          </w:p>
        </w:tc>
        <w:tc>
          <w:tcPr>
            <w:tcW w:w="1308"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NA</w:t>
            </w:r>
          </w:p>
        </w:tc>
        <w:tc>
          <w:tcPr>
            <w:tcW w:w="121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NA</w:t>
            </w:r>
          </w:p>
        </w:tc>
        <w:tc>
          <w:tcPr>
            <w:tcW w:w="1163"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21</w:t>
            </w:r>
          </w:p>
        </w:tc>
        <w:tc>
          <w:tcPr>
            <w:tcW w:w="117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64</w:t>
            </w:r>
          </w:p>
        </w:tc>
      </w:tr>
      <w:tr w:rsidR="00CF6076" w:rsidRPr="00711FC0" w:rsidTr="00EE3CDC">
        <w:trPr>
          <w:trHeight w:val="285"/>
        </w:trPr>
        <w:tc>
          <w:tcPr>
            <w:tcW w:w="2992"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Bulharsko</w:t>
            </w:r>
          </w:p>
        </w:tc>
        <w:tc>
          <w:tcPr>
            <w:tcW w:w="116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68</w:t>
            </w:r>
          </w:p>
        </w:tc>
        <w:tc>
          <w:tcPr>
            <w:tcW w:w="1308"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2</w:t>
            </w:r>
          </w:p>
        </w:tc>
        <w:tc>
          <w:tcPr>
            <w:tcW w:w="121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NA</w:t>
            </w:r>
          </w:p>
        </w:tc>
        <w:tc>
          <w:tcPr>
            <w:tcW w:w="1163"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16</w:t>
            </w:r>
          </w:p>
        </w:tc>
        <w:tc>
          <w:tcPr>
            <w:tcW w:w="117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48</w:t>
            </w:r>
          </w:p>
        </w:tc>
      </w:tr>
      <w:tr w:rsidR="00CF6076" w:rsidRPr="00711FC0" w:rsidTr="00EE3CDC">
        <w:trPr>
          <w:trHeight w:val="285"/>
        </w:trPr>
        <w:tc>
          <w:tcPr>
            <w:tcW w:w="2992" w:type="dxa"/>
            <w:tcBorders>
              <w:top w:val="nil"/>
              <w:left w:val="single" w:sz="4" w:space="0" w:color="000000"/>
              <w:bottom w:val="single" w:sz="4" w:space="0" w:color="000000"/>
              <w:right w:val="single" w:sz="4" w:space="0" w:color="000000"/>
            </w:tcBorders>
            <w:shd w:val="clear" w:color="auto" w:fill="FFFF00"/>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Česká republika</w:t>
            </w:r>
          </w:p>
        </w:tc>
        <w:tc>
          <w:tcPr>
            <w:tcW w:w="1164" w:type="dxa"/>
            <w:tcBorders>
              <w:top w:val="nil"/>
              <w:left w:val="nil"/>
              <w:bottom w:val="single" w:sz="4" w:space="0" w:color="000000"/>
              <w:right w:val="single" w:sz="4" w:space="0" w:color="000000"/>
            </w:tcBorders>
            <w:shd w:val="clear" w:color="auto" w:fill="FFFF00"/>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91</w:t>
            </w:r>
          </w:p>
        </w:tc>
        <w:tc>
          <w:tcPr>
            <w:tcW w:w="1308" w:type="dxa"/>
            <w:tcBorders>
              <w:top w:val="nil"/>
              <w:left w:val="nil"/>
              <w:bottom w:val="single" w:sz="4" w:space="0" w:color="000000"/>
              <w:right w:val="single" w:sz="4" w:space="0" w:color="000000"/>
            </w:tcBorders>
            <w:shd w:val="clear" w:color="auto" w:fill="FFFF00"/>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6</w:t>
            </w:r>
          </w:p>
        </w:tc>
        <w:tc>
          <w:tcPr>
            <w:tcW w:w="1214" w:type="dxa"/>
            <w:tcBorders>
              <w:top w:val="nil"/>
              <w:left w:val="nil"/>
              <w:bottom w:val="single" w:sz="4" w:space="0" w:color="000000"/>
              <w:right w:val="single" w:sz="4" w:space="0" w:color="000000"/>
            </w:tcBorders>
            <w:shd w:val="clear" w:color="auto" w:fill="FFFF00"/>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2</w:t>
            </w:r>
          </w:p>
        </w:tc>
        <w:tc>
          <w:tcPr>
            <w:tcW w:w="1163" w:type="dxa"/>
            <w:tcBorders>
              <w:top w:val="nil"/>
              <w:left w:val="nil"/>
              <w:bottom w:val="single" w:sz="4" w:space="0" w:color="000000"/>
              <w:right w:val="single" w:sz="4" w:space="0" w:color="000000"/>
            </w:tcBorders>
            <w:shd w:val="clear" w:color="auto" w:fill="FFFF00"/>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47</w:t>
            </w:r>
          </w:p>
        </w:tc>
        <w:tc>
          <w:tcPr>
            <w:tcW w:w="1174" w:type="dxa"/>
            <w:tcBorders>
              <w:top w:val="nil"/>
              <w:left w:val="nil"/>
              <w:bottom w:val="single" w:sz="4" w:space="0" w:color="000000"/>
              <w:right w:val="single" w:sz="4" w:space="0" w:color="000000"/>
            </w:tcBorders>
            <w:shd w:val="clear" w:color="auto" w:fill="FFFF00"/>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46</w:t>
            </w:r>
          </w:p>
        </w:tc>
      </w:tr>
      <w:tr w:rsidR="00CF6076" w:rsidRPr="00711FC0" w:rsidTr="00EE3CDC">
        <w:trPr>
          <w:trHeight w:val="285"/>
        </w:trPr>
        <w:tc>
          <w:tcPr>
            <w:tcW w:w="2992"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Dánsko</w:t>
            </w:r>
          </w:p>
        </w:tc>
        <w:tc>
          <w:tcPr>
            <w:tcW w:w="116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61</w:t>
            </w:r>
          </w:p>
        </w:tc>
        <w:tc>
          <w:tcPr>
            <w:tcW w:w="1308"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NA</w:t>
            </w:r>
          </w:p>
        </w:tc>
        <w:tc>
          <w:tcPr>
            <w:tcW w:w="121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NA</w:t>
            </w:r>
          </w:p>
        </w:tc>
        <w:tc>
          <w:tcPr>
            <w:tcW w:w="1163"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11</w:t>
            </w:r>
          </w:p>
        </w:tc>
        <w:tc>
          <w:tcPr>
            <w:tcW w:w="117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85</w:t>
            </w:r>
          </w:p>
        </w:tc>
      </w:tr>
      <w:tr w:rsidR="00CF6076" w:rsidRPr="00711FC0" w:rsidTr="00EE3CDC">
        <w:trPr>
          <w:trHeight w:val="285"/>
        </w:trPr>
        <w:tc>
          <w:tcPr>
            <w:tcW w:w="2992"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Německo</w:t>
            </w:r>
          </w:p>
        </w:tc>
        <w:tc>
          <w:tcPr>
            <w:tcW w:w="116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65</w:t>
            </w:r>
          </w:p>
        </w:tc>
        <w:tc>
          <w:tcPr>
            <w:tcW w:w="1308"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12</w:t>
            </w:r>
          </w:p>
        </w:tc>
        <w:tc>
          <w:tcPr>
            <w:tcW w:w="121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5</w:t>
            </w:r>
          </w:p>
        </w:tc>
        <w:tc>
          <w:tcPr>
            <w:tcW w:w="1163"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37</w:t>
            </w:r>
          </w:p>
        </w:tc>
        <w:tc>
          <w:tcPr>
            <w:tcW w:w="117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86</w:t>
            </w:r>
          </w:p>
        </w:tc>
      </w:tr>
      <w:tr w:rsidR="00CF6076" w:rsidRPr="00711FC0" w:rsidTr="00EE3CDC">
        <w:trPr>
          <w:trHeight w:val="285"/>
        </w:trPr>
        <w:tc>
          <w:tcPr>
            <w:tcW w:w="2992"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Estonsko</w:t>
            </w:r>
          </w:p>
        </w:tc>
        <w:tc>
          <w:tcPr>
            <w:tcW w:w="116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89</w:t>
            </w:r>
          </w:p>
        </w:tc>
        <w:tc>
          <w:tcPr>
            <w:tcW w:w="1308"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NA</w:t>
            </w:r>
          </w:p>
        </w:tc>
        <w:tc>
          <w:tcPr>
            <w:tcW w:w="121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NA</w:t>
            </w:r>
          </w:p>
        </w:tc>
        <w:tc>
          <w:tcPr>
            <w:tcW w:w="1163"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61</w:t>
            </w:r>
          </w:p>
        </w:tc>
        <w:tc>
          <w:tcPr>
            <w:tcW w:w="117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94</w:t>
            </w:r>
          </w:p>
        </w:tc>
      </w:tr>
      <w:tr w:rsidR="00CF6076" w:rsidRPr="00711FC0" w:rsidTr="00EE3CDC">
        <w:trPr>
          <w:trHeight w:val="285"/>
        </w:trPr>
        <w:tc>
          <w:tcPr>
            <w:tcW w:w="2992"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Irsko</w:t>
            </w:r>
          </w:p>
        </w:tc>
        <w:tc>
          <w:tcPr>
            <w:tcW w:w="116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61</w:t>
            </w:r>
          </w:p>
        </w:tc>
        <w:tc>
          <w:tcPr>
            <w:tcW w:w="1308"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NA</w:t>
            </w:r>
          </w:p>
        </w:tc>
        <w:tc>
          <w:tcPr>
            <w:tcW w:w="121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6</w:t>
            </w:r>
          </w:p>
        </w:tc>
        <w:tc>
          <w:tcPr>
            <w:tcW w:w="1163"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19</w:t>
            </w:r>
          </w:p>
        </w:tc>
        <w:tc>
          <w:tcPr>
            <w:tcW w:w="117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45</w:t>
            </w:r>
          </w:p>
        </w:tc>
      </w:tr>
      <w:tr w:rsidR="00CF6076" w:rsidRPr="00711FC0" w:rsidTr="00EE3CDC">
        <w:trPr>
          <w:trHeight w:val="285"/>
        </w:trPr>
        <w:tc>
          <w:tcPr>
            <w:tcW w:w="2992"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Řecko</w:t>
            </w:r>
          </w:p>
        </w:tc>
        <w:tc>
          <w:tcPr>
            <w:tcW w:w="116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67</w:t>
            </w:r>
          </w:p>
        </w:tc>
        <w:tc>
          <w:tcPr>
            <w:tcW w:w="1308"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14</w:t>
            </w:r>
          </w:p>
        </w:tc>
        <w:tc>
          <w:tcPr>
            <w:tcW w:w="121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NA</w:t>
            </w:r>
          </w:p>
        </w:tc>
        <w:tc>
          <w:tcPr>
            <w:tcW w:w="1163"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8</w:t>
            </w:r>
          </w:p>
        </w:tc>
        <w:tc>
          <w:tcPr>
            <w:tcW w:w="117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63</w:t>
            </w:r>
          </w:p>
        </w:tc>
      </w:tr>
      <w:tr w:rsidR="00CF6076" w:rsidRPr="00711FC0" w:rsidTr="00EE3CDC">
        <w:trPr>
          <w:trHeight w:val="285"/>
        </w:trPr>
        <w:tc>
          <w:tcPr>
            <w:tcW w:w="2992"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Španělsko</w:t>
            </w:r>
          </w:p>
        </w:tc>
        <w:tc>
          <w:tcPr>
            <w:tcW w:w="116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62</w:t>
            </w:r>
          </w:p>
        </w:tc>
        <w:tc>
          <w:tcPr>
            <w:tcW w:w="1308"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11</w:t>
            </w:r>
          </w:p>
        </w:tc>
        <w:tc>
          <w:tcPr>
            <w:tcW w:w="121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3</w:t>
            </w:r>
          </w:p>
        </w:tc>
        <w:tc>
          <w:tcPr>
            <w:tcW w:w="1163"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21</w:t>
            </w:r>
          </w:p>
        </w:tc>
        <w:tc>
          <w:tcPr>
            <w:tcW w:w="117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92</w:t>
            </w:r>
          </w:p>
        </w:tc>
      </w:tr>
      <w:tr w:rsidR="00CF6076" w:rsidRPr="00711FC0" w:rsidTr="00EE3CDC">
        <w:trPr>
          <w:trHeight w:val="285"/>
        </w:trPr>
        <w:tc>
          <w:tcPr>
            <w:tcW w:w="2992"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Francie</w:t>
            </w:r>
          </w:p>
        </w:tc>
        <w:tc>
          <w:tcPr>
            <w:tcW w:w="116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73</w:t>
            </w:r>
          </w:p>
        </w:tc>
        <w:tc>
          <w:tcPr>
            <w:tcW w:w="1308"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NA</w:t>
            </w:r>
          </w:p>
        </w:tc>
        <w:tc>
          <w:tcPr>
            <w:tcW w:w="121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NA</w:t>
            </w:r>
          </w:p>
        </w:tc>
        <w:tc>
          <w:tcPr>
            <w:tcW w:w="1163"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20</w:t>
            </w:r>
          </w:p>
        </w:tc>
        <w:tc>
          <w:tcPr>
            <w:tcW w:w="117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75</w:t>
            </w:r>
          </w:p>
        </w:tc>
      </w:tr>
      <w:tr w:rsidR="00CF6076" w:rsidRPr="00711FC0" w:rsidTr="00EE3CDC">
        <w:trPr>
          <w:trHeight w:val="285"/>
        </w:trPr>
        <w:tc>
          <w:tcPr>
            <w:tcW w:w="2992"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Chorvatsko</w:t>
            </w:r>
          </w:p>
        </w:tc>
        <w:tc>
          <w:tcPr>
            <w:tcW w:w="116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65</w:t>
            </w:r>
          </w:p>
        </w:tc>
        <w:tc>
          <w:tcPr>
            <w:tcW w:w="1308"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NA</w:t>
            </w:r>
          </w:p>
        </w:tc>
        <w:tc>
          <w:tcPr>
            <w:tcW w:w="121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NA</w:t>
            </w:r>
          </w:p>
        </w:tc>
        <w:tc>
          <w:tcPr>
            <w:tcW w:w="1163"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36</w:t>
            </w:r>
          </w:p>
        </w:tc>
        <w:tc>
          <w:tcPr>
            <w:tcW w:w="117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65</w:t>
            </w:r>
          </w:p>
        </w:tc>
      </w:tr>
      <w:tr w:rsidR="00CF6076" w:rsidRPr="00711FC0" w:rsidTr="00EE3CDC">
        <w:trPr>
          <w:trHeight w:val="285"/>
        </w:trPr>
        <w:tc>
          <w:tcPr>
            <w:tcW w:w="2992"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Itálie</w:t>
            </w:r>
          </w:p>
        </w:tc>
        <w:tc>
          <w:tcPr>
            <w:tcW w:w="116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54</w:t>
            </w:r>
          </w:p>
        </w:tc>
        <w:tc>
          <w:tcPr>
            <w:tcW w:w="1308"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7</w:t>
            </w:r>
          </w:p>
        </w:tc>
        <w:tc>
          <w:tcPr>
            <w:tcW w:w="121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2</w:t>
            </w:r>
          </w:p>
        </w:tc>
        <w:tc>
          <w:tcPr>
            <w:tcW w:w="1163"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25</w:t>
            </w:r>
          </w:p>
        </w:tc>
        <w:tc>
          <w:tcPr>
            <w:tcW w:w="117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70</w:t>
            </w:r>
          </w:p>
        </w:tc>
      </w:tr>
      <w:tr w:rsidR="00CF6076" w:rsidRPr="00711FC0" w:rsidTr="00EE3CDC">
        <w:trPr>
          <w:trHeight w:val="285"/>
        </w:trPr>
        <w:tc>
          <w:tcPr>
            <w:tcW w:w="2992"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Kypr</w:t>
            </w:r>
          </w:p>
        </w:tc>
        <w:tc>
          <w:tcPr>
            <w:tcW w:w="116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90</w:t>
            </w:r>
          </w:p>
        </w:tc>
        <w:tc>
          <w:tcPr>
            <w:tcW w:w="1308"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12</w:t>
            </w:r>
          </w:p>
        </w:tc>
        <w:tc>
          <w:tcPr>
            <w:tcW w:w="121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NA</w:t>
            </w:r>
          </w:p>
        </w:tc>
        <w:tc>
          <w:tcPr>
            <w:tcW w:w="1163"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21</w:t>
            </w:r>
          </w:p>
        </w:tc>
        <w:tc>
          <w:tcPr>
            <w:tcW w:w="117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73</w:t>
            </w:r>
          </w:p>
        </w:tc>
      </w:tr>
      <w:tr w:rsidR="00CF6076" w:rsidRPr="00711FC0" w:rsidTr="00EE3CDC">
        <w:trPr>
          <w:trHeight w:val="285"/>
        </w:trPr>
        <w:tc>
          <w:tcPr>
            <w:tcW w:w="2992"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Lotyšsko</w:t>
            </w:r>
          </w:p>
        </w:tc>
        <w:tc>
          <w:tcPr>
            <w:tcW w:w="116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96</w:t>
            </w:r>
          </w:p>
        </w:tc>
        <w:tc>
          <w:tcPr>
            <w:tcW w:w="1308"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4</w:t>
            </w:r>
          </w:p>
        </w:tc>
        <w:tc>
          <w:tcPr>
            <w:tcW w:w="121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NA</w:t>
            </w:r>
          </w:p>
        </w:tc>
        <w:tc>
          <w:tcPr>
            <w:tcW w:w="1163"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35</w:t>
            </w:r>
          </w:p>
        </w:tc>
        <w:tc>
          <w:tcPr>
            <w:tcW w:w="117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83</w:t>
            </w:r>
          </w:p>
        </w:tc>
      </w:tr>
      <w:tr w:rsidR="00CF6076" w:rsidRPr="00711FC0" w:rsidTr="00EE3CDC">
        <w:trPr>
          <w:trHeight w:val="285"/>
        </w:trPr>
        <w:tc>
          <w:tcPr>
            <w:tcW w:w="2992"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Litva</w:t>
            </w:r>
          </w:p>
        </w:tc>
        <w:tc>
          <w:tcPr>
            <w:tcW w:w="116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97</w:t>
            </w:r>
          </w:p>
        </w:tc>
        <w:tc>
          <w:tcPr>
            <w:tcW w:w="1308"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3</w:t>
            </w:r>
          </w:p>
        </w:tc>
        <w:tc>
          <w:tcPr>
            <w:tcW w:w="121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NA</w:t>
            </w:r>
          </w:p>
        </w:tc>
        <w:tc>
          <w:tcPr>
            <w:tcW w:w="1163"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24</w:t>
            </w:r>
          </w:p>
        </w:tc>
        <w:tc>
          <w:tcPr>
            <w:tcW w:w="117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38</w:t>
            </w:r>
          </w:p>
        </w:tc>
      </w:tr>
      <w:tr w:rsidR="00CF6076" w:rsidRPr="00711FC0" w:rsidTr="00EE3CDC">
        <w:trPr>
          <w:trHeight w:val="285"/>
        </w:trPr>
        <w:tc>
          <w:tcPr>
            <w:tcW w:w="2992"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Lucembursko</w:t>
            </w:r>
          </w:p>
        </w:tc>
        <w:tc>
          <w:tcPr>
            <w:tcW w:w="116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78</w:t>
            </w:r>
          </w:p>
        </w:tc>
        <w:tc>
          <w:tcPr>
            <w:tcW w:w="1308"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NA</w:t>
            </w:r>
          </w:p>
        </w:tc>
        <w:tc>
          <w:tcPr>
            <w:tcW w:w="121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NA</w:t>
            </w:r>
          </w:p>
        </w:tc>
        <w:tc>
          <w:tcPr>
            <w:tcW w:w="1163"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20</w:t>
            </w:r>
          </w:p>
        </w:tc>
        <w:tc>
          <w:tcPr>
            <w:tcW w:w="117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70</w:t>
            </w:r>
          </w:p>
        </w:tc>
      </w:tr>
      <w:tr w:rsidR="00CF6076" w:rsidRPr="00711FC0" w:rsidTr="00EE3CDC">
        <w:trPr>
          <w:trHeight w:val="285"/>
        </w:trPr>
        <w:tc>
          <w:tcPr>
            <w:tcW w:w="2992"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Maďarsko</w:t>
            </w:r>
          </w:p>
        </w:tc>
        <w:tc>
          <w:tcPr>
            <w:tcW w:w="116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88</w:t>
            </w:r>
          </w:p>
        </w:tc>
        <w:tc>
          <w:tcPr>
            <w:tcW w:w="1308"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3</w:t>
            </w:r>
          </w:p>
        </w:tc>
        <w:tc>
          <w:tcPr>
            <w:tcW w:w="121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NA</w:t>
            </w:r>
          </w:p>
        </w:tc>
        <w:tc>
          <w:tcPr>
            <w:tcW w:w="1163"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38</w:t>
            </w:r>
          </w:p>
        </w:tc>
        <w:tc>
          <w:tcPr>
            <w:tcW w:w="117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72</w:t>
            </w:r>
          </w:p>
        </w:tc>
      </w:tr>
      <w:tr w:rsidR="00CF6076" w:rsidRPr="00711FC0" w:rsidTr="00EE3CDC">
        <w:trPr>
          <w:trHeight w:val="285"/>
        </w:trPr>
        <w:tc>
          <w:tcPr>
            <w:tcW w:w="2992"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sidRPr="00711FC0">
              <w:rPr>
                <w:rFonts w:ascii="Arial" w:eastAsia="Times New Roman" w:hAnsi="Arial" w:cs="Arial"/>
                <w:sz w:val="16"/>
                <w:szCs w:val="16"/>
                <w:lang w:eastAsia="cs-CZ"/>
              </w:rPr>
              <w:t>Malta</w:t>
            </w:r>
          </w:p>
        </w:tc>
        <w:tc>
          <w:tcPr>
            <w:tcW w:w="116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80</w:t>
            </w:r>
          </w:p>
        </w:tc>
        <w:tc>
          <w:tcPr>
            <w:tcW w:w="1308"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NA</w:t>
            </w:r>
          </w:p>
        </w:tc>
        <w:tc>
          <w:tcPr>
            <w:tcW w:w="121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NA</w:t>
            </w:r>
          </w:p>
        </w:tc>
        <w:tc>
          <w:tcPr>
            <w:tcW w:w="1163"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23</w:t>
            </w:r>
          </w:p>
        </w:tc>
        <w:tc>
          <w:tcPr>
            <w:tcW w:w="117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61</w:t>
            </w:r>
          </w:p>
        </w:tc>
      </w:tr>
      <w:tr w:rsidR="00CF6076" w:rsidRPr="00711FC0" w:rsidTr="00EE3CDC">
        <w:trPr>
          <w:trHeight w:val="285"/>
        </w:trPr>
        <w:tc>
          <w:tcPr>
            <w:tcW w:w="2992"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Nizozemí</w:t>
            </w:r>
          </w:p>
        </w:tc>
        <w:tc>
          <w:tcPr>
            <w:tcW w:w="116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58</w:t>
            </w:r>
          </w:p>
        </w:tc>
        <w:tc>
          <w:tcPr>
            <w:tcW w:w="1308"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NA</w:t>
            </w:r>
          </w:p>
        </w:tc>
        <w:tc>
          <w:tcPr>
            <w:tcW w:w="121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NA</w:t>
            </w:r>
          </w:p>
        </w:tc>
        <w:tc>
          <w:tcPr>
            <w:tcW w:w="1163"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13</w:t>
            </w:r>
          </w:p>
        </w:tc>
        <w:tc>
          <w:tcPr>
            <w:tcW w:w="117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83</w:t>
            </w:r>
          </w:p>
        </w:tc>
      </w:tr>
      <w:tr w:rsidR="00CF6076" w:rsidRPr="00711FC0" w:rsidTr="00EE3CDC">
        <w:trPr>
          <w:trHeight w:val="285"/>
        </w:trPr>
        <w:tc>
          <w:tcPr>
            <w:tcW w:w="2992"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Rakousko</w:t>
            </w:r>
          </w:p>
        </w:tc>
        <w:tc>
          <w:tcPr>
            <w:tcW w:w="116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83</w:t>
            </w:r>
          </w:p>
        </w:tc>
        <w:tc>
          <w:tcPr>
            <w:tcW w:w="1308"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7</w:t>
            </w:r>
          </w:p>
        </w:tc>
        <w:tc>
          <w:tcPr>
            <w:tcW w:w="121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9</w:t>
            </w:r>
          </w:p>
        </w:tc>
        <w:tc>
          <w:tcPr>
            <w:tcW w:w="1163"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46</w:t>
            </w:r>
          </w:p>
        </w:tc>
        <w:tc>
          <w:tcPr>
            <w:tcW w:w="117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82</w:t>
            </w:r>
          </w:p>
        </w:tc>
      </w:tr>
      <w:tr w:rsidR="00CF6076" w:rsidRPr="00711FC0" w:rsidTr="00EE3CDC">
        <w:trPr>
          <w:trHeight w:val="285"/>
        </w:trPr>
        <w:tc>
          <w:tcPr>
            <w:tcW w:w="2992"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Polsko</w:t>
            </w:r>
          </w:p>
        </w:tc>
        <w:tc>
          <w:tcPr>
            <w:tcW w:w="116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90</w:t>
            </w:r>
          </w:p>
        </w:tc>
        <w:tc>
          <w:tcPr>
            <w:tcW w:w="1308"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1</w:t>
            </w:r>
          </w:p>
        </w:tc>
        <w:tc>
          <w:tcPr>
            <w:tcW w:w="121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1</w:t>
            </w:r>
          </w:p>
        </w:tc>
        <w:tc>
          <w:tcPr>
            <w:tcW w:w="1163"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18</w:t>
            </w:r>
          </w:p>
        </w:tc>
        <w:tc>
          <w:tcPr>
            <w:tcW w:w="117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60</w:t>
            </w:r>
          </w:p>
        </w:tc>
      </w:tr>
      <w:tr w:rsidR="00CF6076" w:rsidRPr="00711FC0" w:rsidTr="00EE3CDC">
        <w:trPr>
          <w:trHeight w:val="285"/>
        </w:trPr>
        <w:tc>
          <w:tcPr>
            <w:tcW w:w="2992"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Portugalsko</w:t>
            </w:r>
          </w:p>
        </w:tc>
        <w:tc>
          <w:tcPr>
            <w:tcW w:w="116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78</w:t>
            </w:r>
          </w:p>
        </w:tc>
        <w:tc>
          <w:tcPr>
            <w:tcW w:w="1308"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12</w:t>
            </w:r>
          </w:p>
        </w:tc>
        <w:tc>
          <w:tcPr>
            <w:tcW w:w="121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4</w:t>
            </w:r>
          </w:p>
        </w:tc>
        <w:tc>
          <w:tcPr>
            <w:tcW w:w="1163"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30</w:t>
            </w:r>
          </w:p>
        </w:tc>
        <w:tc>
          <w:tcPr>
            <w:tcW w:w="117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89</w:t>
            </w:r>
          </w:p>
        </w:tc>
      </w:tr>
      <w:tr w:rsidR="00CF6076" w:rsidRPr="00711FC0" w:rsidTr="00EE3CDC">
        <w:trPr>
          <w:trHeight w:val="285"/>
        </w:trPr>
        <w:tc>
          <w:tcPr>
            <w:tcW w:w="2992"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Rumunsko</w:t>
            </w:r>
          </w:p>
        </w:tc>
        <w:tc>
          <w:tcPr>
            <w:tcW w:w="116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52</w:t>
            </w:r>
          </w:p>
        </w:tc>
        <w:tc>
          <w:tcPr>
            <w:tcW w:w="1308"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4</w:t>
            </w:r>
          </w:p>
        </w:tc>
        <w:tc>
          <w:tcPr>
            <w:tcW w:w="121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2</w:t>
            </w:r>
          </w:p>
        </w:tc>
        <w:tc>
          <w:tcPr>
            <w:tcW w:w="1163"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24</w:t>
            </w:r>
          </w:p>
        </w:tc>
        <w:tc>
          <w:tcPr>
            <w:tcW w:w="117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50</w:t>
            </w:r>
          </w:p>
        </w:tc>
      </w:tr>
      <w:tr w:rsidR="00CF6076" w:rsidRPr="00711FC0" w:rsidTr="00EE3CDC">
        <w:trPr>
          <w:trHeight w:val="285"/>
        </w:trPr>
        <w:tc>
          <w:tcPr>
            <w:tcW w:w="2992"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Slovinsko</w:t>
            </w:r>
          </w:p>
        </w:tc>
        <w:tc>
          <w:tcPr>
            <w:tcW w:w="116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81</w:t>
            </w:r>
          </w:p>
        </w:tc>
        <w:tc>
          <w:tcPr>
            <w:tcW w:w="1308"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NA</w:t>
            </w:r>
          </w:p>
        </w:tc>
        <w:tc>
          <w:tcPr>
            <w:tcW w:w="121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NA</w:t>
            </w:r>
          </w:p>
        </w:tc>
        <w:tc>
          <w:tcPr>
            <w:tcW w:w="1163"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55</w:t>
            </w:r>
          </w:p>
        </w:tc>
        <w:tc>
          <w:tcPr>
            <w:tcW w:w="117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96</w:t>
            </w:r>
          </w:p>
        </w:tc>
      </w:tr>
      <w:tr w:rsidR="00CF6076" w:rsidRPr="00711FC0" w:rsidTr="00EE3CDC">
        <w:trPr>
          <w:trHeight w:val="285"/>
        </w:trPr>
        <w:tc>
          <w:tcPr>
            <w:tcW w:w="2992"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Slovensko</w:t>
            </w:r>
          </w:p>
        </w:tc>
        <w:tc>
          <w:tcPr>
            <w:tcW w:w="116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91</w:t>
            </w:r>
          </w:p>
        </w:tc>
        <w:tc>
          <w:tcPr>
            <w:tcW w:w="1308"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9</w:t>
            </w:r>
          </w:p>
        </w:tc>
        <w:tc>
          <w:tcPr>
            <w:tcW w:w="121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4</w:t>
            </w:r>
          </w:p>
        </w:tc>
        <w:tc>
          <w:tcPr>
            <w:tcW w:w="1163"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31</w:t>
            </w:r>
          </w:p>
        </w:tc>
        <w:tc>
          <w:tcPr>
            <w:tcW w:w="117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70</w:t>
            </w:r>
          </w:p>
        </w:tc>
      </w:tr>
      <w:tr w:rsidR="00CF6076" w:rsidRPr="00711FC0" w:rsidTr="00EE3CDC">
        <w:trPr>
          <w:trHeight w:val="285"/>
        </w:trPr>
        <w:tc>
          <w:tcPr>
            <w:tcW w:w="2992"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Finsko</w:t>
            </w:r>
          </w:p>
        </w:tc>
        <w:tc>
          <w:tcPr>
            <w:tcW w:w="116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68</w:t>
            </w:r>
          </w:p>
        </w:tc>
        <w:tc>
          <w:tcPr>
            <w:tcW w:w="1308"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NA</w:t>
            </w:r>
          </w:p>
        </w:tc>
        <w:tc>
          <w:tcPr>
            <w:tcW w:w="121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NA</w:t>
            </w:r>
          </w:p>
        </w:tc>
        <w:tc>
          <w:tcPr>
            <w:tcW w:w="1163"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46</w:t>
            </w:r>
          </w:p>
        </w:tc>
        <w:tc>
          <w:tcPr>
            <w:tcW w:w="117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96</w:t>
            </w:r>
          </w:p>
        </w:tc>
      </w:tr>
      <w:tr w:rsidR="00CF6076" w:rsidRPr="00711FC0" w:rsidTr="00EE3CDC">
        <w:trPr>
          <w:trHeight w:val="285"/>
        </w:trPr>
        <w:tc>
          <w:tcPr>
            <w:tcW w:w="2992"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Švédsko</w:t>
            </w:r>
          </w:p>
        </w:tc>
        <w:tc>
          <w:tcPr>
            <w:tcW w:w="116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73</w:t>
            </w:r>
          </w:p>
        </w:tc>
        <w:tc>
          <w:tcPr>
            <w:tcW w:w="1308"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5</w:t>
            </w:r>
          </w:p>
        </w:tc>
        <w:tc>
          <w:tcPr>
            <w:tcW w:w="121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8</w:t>
            </w:r>
          </w:p>
        </w:tc>
        <w:tc>
          <w:tcPr>
            <w:tcW w:w="1163"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36</w:t>
            </w:r>
          </w:p>
        </w:tc>
        <w:tc>
          <w:tcPr>
            <w:tcW w:w="117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95</w:t>
            </w:r>
          </w:p>
        </w:tc>
      </w:tr>
      <w:tr w:rsidR="00CF6076" w:rsidRPr="00711FC0" w:rsidTr="00EE3CDC">
        <w:trPr>
          <w:trHeight w:val="285"/>
        </w:trPr>
        <w:tc>
          <w:tcPr>
            <w:tcW w:w="2992"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Velká Británie</w:t>
            </w:r>
          </w:p>
        </w:tc>
        <w:tc>
          <w:tcPr>
            <w:tcW w:w="116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87</w:t>
            </w:r>
          </w:p>
        </w:tc>
        <w:tc>
          <w:tcPr>
            <w:tcW w:w="1308"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NA</w:t>
            </w:r>
          </w:p>
        </w:tc>
        <w:tc>
          <w:tcPr>
            <w:tcW w:w="121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NA</w:t>
            </w:r>
          </w:p>
        </w:tc>
        <w:tc>
          <w:tcPr>
            <w:tcW w:w="1163"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19</w:t>
            </w:r>
          </w:p>
        </w:tc>
        <w:tc>
          <w:tcPr>
            <w:tcW w:w="117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60</w:t>
            </w:r>
          </w:p>
        </w:tc>
      </w:tr>
      <w:tr w:rsidR="00CF6076" w:rsidRPr="00711FC0" w:rsidTr="00EE3CDC">
        <w:trPr>
          <w:trHeight w:val="285"/>
        </w:trPr>
        <w:tc>
          <w:tcPr>
            <w:tcW w:w="2992"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Island</w:t>
            </w:r>
          </w:p>
        </w:tc>
        <w:tc>
          <w:tcPr>
            <w:tcW w:w="116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85</w:t>
            </w:r>
          </w:p>
        </w:tc>
        <w:tc>
          <w:tcPr>
            <w:tcW w:w="1308"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NA</w:t>
            </w:r>
          </w:p>
        </w:tc>
        <w:tc>
          <w:tcPr>
            <w:tcW w:w="121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7</w:t>
            </w:r>
          </w:p>
        </w:tc>
        <w:tc>
          <w:tcPr>
            <w:tcW w:w="1163"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32</w:t>
            </w:r>
          </w:p>
        </w:tc>
        <w:tc>
          <w:tcPr>
            <w:tcW w:w="117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92</w:t>
            </w:r>
          </w:p>
        </w:tc>
      </w:tr>
      <w:tr w:rsidR="00CF6076" w:rsidRPr="00711FC0" w:rsidTr="00EE3CDC">
        <w:trPr>
          <w:trHeight w:val="285"/>
        </w:trPr>
        <w:tc>
          <w:tcPr>
            <w:tcW w:w="2992"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Norsko</w:t>
            </w:r>
          </w:p>
        </w:tc>
        <w:tc>
          <w:tcPr>
            <w:tcW w:w="116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16</w:t>
            </w:r>
          </w:p>
        </w:tc>
        <w:tc>
          <w:tcPr>
            <w:tcW w:w="1308"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NA</w:t>
            </w:r>
          </w:p>
        </w:tc>
        <w:tc>
          <w:tcPr>
            <w:tcW w:w="121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NA</w:t>
            </w:r>
          </w:p>
        </w:tc>
        <w:tc>
          <w:tcPr>
            <w:tcW w:w="1163"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37</w:t>
            </w:r>
          </w:p>
        </w:tc>
        <w:tc>
          <w:tcPr>
            <w:tcW w:w="1174" w:type="dxa"/>
            <w:tcBorders>
              <w:top w:val="nil"/>
              <w:left w:val="nil"/>
              <w:bottom w:val="single" w:sz="4" w:space="0" w:color="000000"/>
              <w:right w:val="single" w:sz="4" w:space="0" w:color="000000"/>
            </w:tcBorders>
            <w:shd w:val="clear" w:color="auto" w:fill="auto"/>
            <w:noWrap/>
            <w:vAlign w:val="bottom"/>
            <w:hideMark/>
          </w:tcPr>
          <w:p w:rsidR="00CF6076" w:rsidRPr="00711FC0" w:rsidRDefault="00CF6076" w:rsidP="00982F4E">
            <w:pPr>
              <w:spacing w:before="0" w:after="0" w:line="360" w:lineRule="auto"/>
              <w:jc w:val="right"/>
              <w:rPr>
                <w:rFonts w:ascii="Arial" w:eastAsia="Times New Roman" w:hAnsi="Arial" w:cs="Arial"/>
                <w:sz w:val="16"/>
                <w:szCs w:val="16"/>
                <w:lang w:eastAsia="cs-CZ"/>
              </w:rPr>
            </w:pPr>
            <w:r w:rsidRPr="00711FC0">
              <w:rPr>
                <w:rFonts w:ascii="Arial" w:eastAsia="Times New Roman" w:hAnsi="Arial" w:cs="Arial"/>
                <w:sz w:val="16"/>
                <w:szCs w:val="16"/>
                <w:lang w:eastAsia="cs-CZ"/>
              </w:rPr>
              <w:t>97</w:t>
            </w:r>
          </w:p>
        </w:tc>
      </w:tr>
    </w:tbl>
    <w:p w:rsidR="00CF6076" w:rsidRDefault="00CF6076" w:rsidP="00982F4E">
      <w:pPr>
        <w:pStyle w:val="Citace1"/>
        <w:spacing w:line="360" w:lineRule="auto"/>
      </w:pPr>
      <w:r>
        <w:t>Zdroj: Eurostat 2013; NA = není k dispozici</w:t>
      </w:r>
    </w:p>
    <w:p w:rsidR="00CF6076" w:rsidRPr="00900F8D" w:rsidRDefault="00CF6076" w:rsidP="00982F4E">
      <w:pPr>
        <w:spacing w:line="360" w:lineRule="auto"/>
      </w:pPr>
      <w:r w:rsidRPr="00900F8D">
        <w:t>Studie Ministerstva školství, mládeže a tělovýchovy Potřeby zaměstnavatelů a připravenost absolventů škol – souhrnný pohled (2008)</w:t>
      </w:r>
      <w:r>
        <w:t xml:space="preserve"> byly respondenty z řad podniků dovednosti ve </w:t>
      </w:r>
      <w:r>
        <w:lastRenderedPageBreak/>
        <w:t>výpočetní technologii identifikovány jako druhá nejdůležitější kompetence pro sekundární, terciární a kvartérní sektor ekonomiky</w:t>
      </w:r>
      <w:r>
        <w:rPr>
          <w:rStyle w:val="Znakapoznpodarou"/>
        </w:rPr>
        <w:footnoteReference w:id="58"/>
      </w:r>
      <w:r>
        <w:t xml:space="preserve">, přičemž týž průzkum dále ukazuje, že dovednosti v ovládání výpočetní techniky jsou dovednost, kterou si zaměstnavatelé velmi cení na absolventech. </w:t>
      </w:r>
    </w:p>
    <w:p w:rsidR="00CF6076" w:rsidRDefault="00CF6076" w:rsidP="00982F4E">
      <w:pPr>
        <w:spacing w:line="360" w:lineRule="auto"/>
      </w:pPr>
      <w:r>
        <w:t xml:space="preserve">Podle studie Ministerstva školství, mládeže a tělovýchovy z roku 2010 - </w:t>
      </w:r>
      <w:r w:rsidRPr="00A34CAB">
        <w:t>Analýza inzertní nabídky zaměstnání v de</w:t>
      </w:r>
      <w:r>
        <w:t>nním tisku a na internetu – se v inzerátech hledajících zaměstnance objevuje požadavek na schopnost pracovat s počítačem stále méně – což je však dáno především tím, že práce s PC se přesunula ze speciální dovednosti do dovednosti základní. Studie však konstatuje, že se daleko častěji v inzerátech objevuje požadavek na ovládání specializovaných typů softwaru a dalších dovedností u dělnických profesí – které jsou obecně na trhu nedostatkové. U středně kvalifikovaných profesí se rovněž často objevují požadavky na znalost grafických programů. Důležitým poznatkem je i fakt, že dovednosti v práci se specializovanými programy a jiné specifické IT dovednosti se v inzerátech často požadují od vedoucích pracovníků nejen v IT oborech. Toto zjištění je důležité zejména v kombinaci s druhým zjištěním, které říká, že drtivou většinu IT dovedností nabývají Češi ve škole a příliš se nevěnují samovzdělávání v tomto oboru – což může do budoucna způsobovat problémy při prohlubování kvalifikace.</w:t>
      </w:r>
    </w:p>
    <w:p w:rsidR="00CF6076" w:rsidRDefault="00CF6076" w:rsidP="00982F4E">
      <w:pPr>
        <w:spacing w:line="360" w:lineRule="auto"/>
      </w:pPr>
      <w:r>
        <w:t xml:space="preserve">Z hlediska volnočasových aktivit mládeže a jejich relevance pro rozvoj digitální gramotnosti nelze v rámci této studie učinit žádné závěry – vzhledem k tomu, že volnočasové aktivity mládeže se s výjimkou sportu v ČR příliš nesledují. </w:t>
      </w:r>
    </w:p>
    <w:p w:rsidR="0070080D" w:rsidRPr="0070080D" w:rsidRDefault="0070080D" w:rsidP="00982F4E">
      <w:pPr>
        <w:spacing w:line="360" w:lineRule="auto"/>
        <w:rPr>
          <w:i/>
        </w:rPr>
      </w:pPr>
      <w:r w:rsidRPr="0070080D">
        <w:rPr>
          <w:i/>
        </w:rPr>
        <w:t>„O volnočasových aktivitách pro děti – typu programování, grafika nebo práce s internetem nevím. Pokud jsou, budou asi placené a dostupné jen ve větších městech.“</w:t>
      </w:r>
      <w:r>
        <w:rPr>
          <w:rStyle w:val="Znakapoznpodarou"/>
          <w:i/>
        </w:rPr>
        <w:footnoteReference w:id="59"/>
      </w:r>
    </w:p>
    <w:p w:rsidR="00CF6076" w:rsidRPr="00B93509" w:rsidRDefault="00CF6076" w:rsidP="00982F4E">
      <w:pPr>
        <w:spacing w:line="360" w:lineRule="auto"/>
        <w:rPr>
          <w:b/>
        </w:rPr>
      </w:pPr>
      <w:r w:rsidRPr="00B93509">
        <w:rPr>
          <w:b/>
          <w:noProof/>
          <w:lang w:eastAsia="cs-CZ"/>
        </w:rPr>
        <w:t>Doporučení</w:t>
      </w:r>
    </w:p>
    <w:p w:rsidR="00CF6076" w:rsidRDefault="00CF6076" w:rsidP="00982F4E">
      <w:pPr>
        <w:spacing w:line="360" w:lineRule="auto"/>
      </w:pPr>
      <w:r>
        <w:t>A co si tedy pro účely této studie odnést z výše uvedeného rozboru digitální gramotnosti dětí a mládeže v ČR a obecně výuky ICT v ČR?</w:t>
      </w:r>
    </w:p>
    <w:p w:rsidR="00CF6076" w:rsidRDefault="00CF6076" w:rsidP="00982F4E">
      <w:pPr>
        <w:pStyle w:val="Odstavecseseznamem"/>
        <w:numPr>
          <w:ilvl w:val="0"/>
          <w:numId w:val="44"/>
        </w:numPr>
        <w:spacing w:line="360" w:lineRule="auto"/>
      </w:pPr>
      <w:r>
        <w:t>Vybavení škol výpočetní technikou se v posledních letech v ČR významně zlepšilo, což je dle názoru autorů této studie zapříčiněno čerpáním fondů EU v období 2007 – 2013 – které z Operačního programu Vzdělávání pro konkurenceschopnost umožňovalo realizovat projekty financované z EU k inovacím kurzů a z těchto prostředků rovněž nakupovat některé typy hmotného a nehmotného majetku – zejména počítače a interaktivní tabule – z toho zřejmě plyne silná vybavenost českých základních a středních škol – ale i obavy o udržitelnost kvality tohoto vybavení</w:t>
      </w:r>
    </w:p>
    <w:p w:rsidR="00CF6076" w:rsidRDefault="00CF6076" w:rsidP="00982F4E">
      <w:pPr>
        <w:pStyle w:val="Odstavecseseznamem"/>
        <w:numPr>
          <w:ilvl w:val="0"/>
          <w:numId w:val="44"/>
        </w:numPr>
        <w:spacing w:line="360" w:lineRule="auto"/>
      </w:pPr>
      <w:r>
        <w:lastRenderedPageBreak/>
        <w:t>Dovednosti učitelů i studentů a jejich sebedůvěra z hlediska využívání výpočetní techniky se více méně nachází někde na EU průměru (u studentů lehce nad průměrem), nicméně otázkou je reálná kvalita poskytnuté výuky; bohužel na úrovni EU ani ČR doposud není k dispozici žádný průřezový test ICT dovedností, z něhož by se dala kvalita posoudit – podle webových stránek MŠMT v současné době vzniká studie ICILS 2013 (International Computer and Information Literacy Study), kterou na mezinárodní úrovni zpracovává International Association for Evaluation of Educational Achievement</w:t>
      </w:r>
      <w:r>
        <w:rPr>
          <w:rStyle w:val="Znakapoznpodarou"/>
        </w:rPr>
        <w:footnoteReference w:id="60"/>
      </w:r>
      <w:r>
        <w:t xml:space="preserve"> - výsledky by měly být k dispozici v roce 2014</w:t>
      </w:r>
      <w:r>
        <w:rPr>
          <w:rStyle w:val="Znakapoznpodarou"/>
        </w:rPr>
        <w:footnoteReference w:id="61"/>
      </w:r>
    </w:p>
    <w:p w:rsidR="00CF6076" w:rsidRDefault="00CF6076" w:rsidP="00982F4E">
      <w:pPr>
        <w:pStyle w:val="Odstavecseseznamem"/>
        <w:numPr>
          <w:ilvl w:val="0"/>
          <w:numId w:val="44"/>
        </w:numPr>
        <w:spacing w:line="360" w:lineRule="auto"/>
      </w:pPr>
      <w:r>
        <w:t>Nemáme žádné informace o volnočasových aktivitách mládeže ve vztahu k IT – a nepřímá zjištění v rámci této studie naznačují, že ve volném čase se prohlubování dovedností mezi školáky a mládeží spíše neděje</w:t>
      </w:r>
      <w:r>
        <w:rPr>
          <w:rStyle w:val="Znakapoznpodarou"/>
        </w:rPr>
        <w:footnoteReference w:id="62"/>
      </w:r>
      <w:r>
        <w:t xml:space="preserve"> - mimo jiné i proto, že čeští žáci a studenti nejsou zvyklí získávat informace samostatně mimo školu ani v rámci zájmových činností</w:t>
      </w:r>
    </w:p>
    <w:p w:rsidR="00CF6076" w:rsidRPr="00B93509" w:rsidRDefault="00CF6076" w:rsidP="00982F4E">
      <w:pPr>
        <w:spacing w:line="360" w:lineRule="auto"/>
      </w:pPr>
      <w:r>
        <w:t>V soukromém sektoru vzniklo v</w:t>
      </w:r>
      <w:r w:rsidRPr="00B93509">
        <w:t xml:space="preserve"> průběhu</w:t>
      </w:r>
      <w:r>
        <w:t xml:space="preserve"> posledních několika let</w:t>
      </w:r>
      <w:r w:rsidRPr="00B93509">
        <w:t xml:space="preserve"> v ČR několik iniciativ za zlepšení české vzdělávací soustavy, které stojí za pozornost. Jedná se o následující:</w:t>
      </w:r>
    </w:p>
    <w:p w:rsidR="00CF6076" w:rsidRPr="00B93509" w:rsidRDefault="00CF6076" w:rsidP="00982F4E">
      <w:pPr>
        <w:pStyle w:val="Odstavecseseznamem"/>
        <w:numPr>
          <w:ilvl w:val="0"/>
          <w:numId w:val="35"/>
        </w:numPr>
        <w:spacing w:line="360" w:lineRule="auto"/>
      </w:pPr>
      <w:r w:rsidRPr="00B93509">
        <w:t>Projekt Kellner Foundation Pomáháme školám k úspěchu (rozvoj matematiky a čtenářských dovedností – cíleno na zlepšení kvality pedagogů)</w:t>
      </w:r>
      <w:r w:rsidRPr="00B93509">
        <w:rPr>
          <w:rStyle w:val="Znakapoznpodarou"/>
        </w:rPr>
        <w:footnoteReference w:id="63"/>
      </w:r>
    </w:p>
    <w:p w:rsidR="00CF6076" w:rsidRPr="00B93509" w:rsidRDefault="00CF6076" w:rsidP="00982F4E">
      <w:pPr>
        <w:spacing w:line="360" w:lineRule="auto"/>
        <w:rPr>
          <w:i/>
        </w:rPr>
      </w:pPr>
      <w:r w:rsidRPr="00B93509">
        <w:t xml:space="preserve">POMÁHÁME ŠKOLÁM K ÚSPĚCHU je vzdělávací projekt pro učitele a ředitele veřejných </w:t>
      </w:r>
      <w:r w:rsidRPr="00B93509">
        <w:rPr>
          <w:i/>
        </w:rPr>
        <w:t xml:space="preserve">základních škol v České republice, který se zaměřuje na vysokou kvalitu výuky s důrazem na individuální přístup pedagogů k žákům. Dlouhodobá vzdělávací, materiální a personální podpora pomůže učitelům lépe rozpoznávat individuální potřeby žáků, lépe přizpůsobovat styl výuky, a tak dosahovat co nejlepších pedagogických výsledků. Projekt počítá se základní pětiletou podporou a postupným zapojením celkem 14 škol, které vytvoří síť veřejných základních škol s podporovanou kvalitou výuky. Postupy a nástroje pro výuku vytvořené a ověřované v těchto školách pak budou nabídnuty i dalším školám po celé České republice. Mezi takové nástroje budou patřit např. mapy učebního pokroku žáků v oblasti čtenářských dovedností a v matematice. </w:t>
      </w:r>
    </w:p>
    <w:p w:rsidR="00CF6076" w:rsidRPr="00B93509" w:rsidRDefault="00CF6076" w:rsidP="00982F4E">
      <w:pPr>
        <w:pStyle w:val="Odstavecseseznamem"/>
        <w:numPr>
          <w:ilvl w:val="0"/>
          <w:numId w:val="35"/>
        </w:numPr>
        <w:spacing w:line="360" w:lineRule="auto"/>
      </w:pPr>
      <w:r w:rsidRPr="00B93509">
        <w:t>Podpora kvalitních pedagogů Českou spořitelnou z nevybraných vkladů na zrušených anonymních vkladních knížkách (připravuje se)</w:t>
      </w:r>
    </w:p>
    <w:p w:rsidR="00CF6076" w:rsidRPr="00B93509" w:rsidRDefault="00CF6076" w:rsidP="00982F4E">
      <w:pPr>
        <w:pStyle w:val="Odstavecseseznamem"/>
        <w:numPr>
          <w:ilvl w:val="0"/>
          <w:numId w:val="35"/>
        </w:numPr>
        <w:spacing w:line="360" w:lineRule="auto"/>
      </w:pPr>
      <w:r w:rsidRPr="00B93509">
        <w:t>Matematika s chutí</w:t>
      </w:r>
      <w:r w:rsidRPr="00B93509">
        <w:rPr>
          <w:rStyle w:val="Znakapoznpodarou"/>
        </w:rPr>
        <w:footnoteReference w:id="64"/>
      </w:r>
      <w:r w:rsidRPr="00B93509">
        <w:t xml:space="preserve"> – projekt se zaměřuje na zlepšení kvality výuky matematiky a na zlepšování kvality pedagogů; tváří projektu je podnikatel Zbyněk Frolík</w:t>
      </w:r>
    </w:p>
    <w:p w:rsidR="00CF6076" w:rsidRPr="00B93509" w:rsidRDefault="00CF6076" w:rsidP="00982F4E">
      <w:pPr>
        <w:pStyle w:val="Odstavecseseznamem"/>
        <w:numPr>
          <w:ilvl w:val="0"/>
          <w:numId w:val="35"/>
        </w:numPr>
        <w:spacing w:line="360" w:lineRule="auto"/>
      </w:pPr>
      <w:r w:rsidRPr="00B93509">
        <w:lastRenderedPageBreak/>
        <w:t>Projekt IN-generation</w:t>
      </w:r>
      <w:r w:rsidRPr="00B93509">
        <w:rPr>
          <w:rStyle w:val="Znakapoznpodarou"/>
        </w:rPr>
        <w:footnoteReference w:id="65"/>
      </w:r>
      <w:r w:rsidRPr="00B93509">
        <w:t xml:space="preserve"> podpořený Googlem</w:t>
      </w:r>
    </w:p>
    <w:p w:rsidR="00CF6076" w:rsidRPr="00B93509" w:rsidRDefault="00CF6076" w:rsidP="00982F4E">
      <w:pPr>
        <w:spacing w:line="360" w:lineRule="auto"/>
        <w:rPr>
          <w:i/>
        </w:rPr>
      </w:pPr>
      <w:r w:rsidRPr="00B93509">
        <w:rPr>
          <w:i/>
        </w:rPr>
        <w:t>Projekt se zaměřuje na vzdělávání žáků základních škol, jejich učitelů a rodičů v oblasti internetové gramotnosti. Projekt IN-Generation je realizován společností European Leadership &amp; Academic Institute (ELAI) ve spolupráci s dalšími partnery pod záštitou MŠMT. Projekt IN-Generation se zaměřuje především na následující témata: digitální svět kolem nás, digitální stopy, online identity, komunikace v online prostředí, zacházení s online reklamou, efektivní vyhledávání na internetu, zodpovědné a etické chování na internetu a bezpečnost na internetu.</w:t>
      </w:r>
    </w:p>
    <w:p w:rsidR="00CF6076" w:rsidRPr="00B93509" w:rsidRDefault="00CF6076" w:rsidP="00982F4E">
      <w:pPr>
        <w:pStyle w:val="Odstavecseseznamem"/>
        <w:numPr>
          <w:ilvl w:val="0"/>
          <w:numId w:val="36"/>
        </w:numPr>
        <w:spacing w:line="360" w:lineRule="auto"/>
      </w:pPr>
      <w:r w:rsidRPr="00B93509">
        <w:t>Iniciativa České národní banky pro finanční gramotnost</w:t>
      </w:r>
      <w:r w:rsidRPr="00B93509">
        <w:rPr>
          <w:rStyle w:val="Znakapoznpodarou"/>
        </w:rPr>
        <w:footnoteReference w:id="66"/>
      </w:r>
      <w:r w:rsidRPr="00B93509">
        <w:t xml:space="preserve"> - zaměřeno na metodiku výuky</w:t>
      </w:r>
    </w:p>
    <w:p w:rsidR="0070080D" w:rsidRPr="00B93509" w:rsidRDefault="00CF6076" w:rsidP="00982F4E">
      <w:pPr>
        <w:spacing w:line="360" w:lineRule="auto"/>
      </w:pPr>
      <w:r w:rsidRPr="00B93509">
        <w:t>Další projekty podobné výše uvedeným, ale s užším záběrem vznikají i v dalších oblastech – zejména v oblasti technického vzdělávání.</w:t>
      </w:r>
      <w:r w:rsidR="00982F4E">
        <w:t xml:space="preserve"> S</w:t>
      </w:r>
      <w:r w:rsidRPr="00B93509">
        <w:t>PIR by mohl být jedním z aktivních subjektů, které k některé z výše uvedených iniciativ připojí zásadní témata z oblasti internetové gramotnosti a základních IT Skills. Doporučuje se soustředit se na vyučující a výuku, popřípadě na nabídku volnočasových aktivit pro děti, které by jim mohly pomoci mimo standardní výuku získat e-Skills v různých oblastech. Například v nabídce volnočasových aktivit pro děti a mládež často chybí kurzy práce na počítači, programování, webové grafiky apod., informatika se na školách i v mimoškolních kurzech rovněž obvykle vyučuje nepříliš zábavnou formou. Dále se doporučuje aktivně podpořit projekty zaměřené na zavádění e-learningových metod ve školách, což opět přibližuje dětem a mládeži možnosti využití internetu a zároveň přispívá ke zvyšování digitální gramotnosti učitelů.</w:t>
      </w:r>
    </w:p>
    <w:p w:rsidR="00CF6076" w:rsidRPr="0049025D" w:rsidRDefault="00CF6076" w:rsidP="00982F4E">
      <w:pPr>
        <w:spacing w:line="360" w:lineRule="auto"/>
        <w:rPr>
          <w:b/>
        </w:rPr>
      </w:pPr>
      <w:r w:rsidRPr="0049025D">
        <w:rPr>
          <w:b/>
        </w:rPr>
        <w:t>Digitální gramotnost seniorů</w:t>
      </w:r>
    </w:p>
    <w:p w:rsidR="00CF6076" w:rsidRPr="0049025D" w:rsidRDefault="00CF6076" w:rsidP="00982F4E">
      <w:pPr>
        <w:spacing w:line="360" w:lineRule="auto"/>
      </w:pPr>
      <w:r>
        <w:t xml:space="preserve">Specifickým tématem, co se týče digitální gramotnosti, je digitální gramotnost seniorů. V EU srovnání je </w:t>
      </w:r>
      <w:r w:rsidRPr="0049025D">
        <w:t>Česká republika v zapojení seniorů do internetové ekonomiky</w:t>
      </w:r>
      <w:r>
        <w:t xml:space="preserve"> mírně podprůměrná, což je dáno historií země (neboť vzhledem ke komunistickému režimu před rokem 1989 a následné ekonomické transformaci do ČR trendy v oblasti výpočetní techniky pronikaly se zpožděním oproti vyspělým státům)</w:t>
      </w:r>
      <w:r w:rsidRPr="0049025D">
        <w:t>. Níže uvedená tabulka ukazuje, že z hlediska digitální gramotnosti seniorů pod evropským průměrem ve většině sledovaných ukazatelů. Jako klíčový aspekt se jeví zejména nízká míra získávání IT dovedností v rámci dobrovolného celoživotního učení a rovněž relativně nízká míra získávání IT dovedností vlastními silami.</w:t>
      </w:r>
    </w:p>
    <w:p w:rsidR="00CF6076" w:rsidRDefault="00CF6076" w:rsidP="00982F4E">
      <w:pPr>
        <w:spacing w:line="360" w:lineRule="auto"/>
      </w:pPr>
      <w:r w:rsidRPr="0049025D">
        <w:t>Z hlediska specializovaných kurzů pro seniory lze říci, že v ČR doposud není žádná velmi výrazná iniciativa, která by přímo digitální gramotnost řešila</w:t>
      </w:r>
      <w:r w:rsidRPr="0049025D">
        <w:rPr>
          <w:rStyle w:val="Znakapoznpodarou"/>
        </w:rPr>
        <w:footnoteReference w:id="67"/>
      </w:r>
      <w:r w:rsidRPr="0049025D">
        <w:t xml:space="preserve"> – což rovněž neodpovídá evropskému </w:t>
      </w:r>
      <w:r w:rsidRPr="0049025D">
        <w:lastRenderedPageBreak/>
        <w:t>trendu, který považuje budování digitální (respektive IT) gramotnosti seniorů za klíčový pilíř e-Inclusion – tj. projektů bránících sociální exkluzi pomocí využití informačních technologií</w:t>
      </w:r>
      <w:r w:rsidRPr="0049025D">
        <w:rPr>
          <w:rStyle w:val="Znakapoznpodarou"/>
        </w:rPr>
        <w:footnoteReference w:id="68"/>
      </w:r>
      <w:r w:rsidRPr="0049025D">
        <w:t xml:space="preserve">. </w:t>
      </w:r>
    </w:p>
    <w:p w:rsidR="00CF6076" w:rsidRDefault="00CF6076" w:rsidP="00982F4E">
      <w:pPr>
        <w:pStyle w:val="Titulek"/>
        <w:keepNext/>
        <w:spacing w:line="360" w:lineRule="auto"/>
      </w:pPr>
      <w:r>
        <w:t xml:space="preserve">Tabulka </w:t>
      </w:r>
      <w:fldSimple w:instr=" SEQ Tabulka \* ARABIC ">
        <w:r>
          <w:rPr>
            <w:noProof/>
          </w:rPr>
          <w:t>2</w:t>
        </w:r>
      </w:fldSimple>
      <w:r>
        <w:t>: Porovnání způsobů získávání e-Skills (2011)</w:t>
      </w:r>
    </w:p>
    <w:tbl>
      <w:tblPr>
        <w:tblW w:w="9218" w:type="dxa"/>
        <w:tblInd w:w="55" w:type="dxa"/>
        <w:tblCellMar>
          <w:left w:w="70" w:type="dxa"/>
          <w:right w:w="70" w:type="dxa"/>
        </w:tblCellMar>
        <w:tblLook w:val="04A0"/>
      </w:tblPr>
      <w:tblGrid>
        <w:gridCol w:w="2283"/>
        <w:gridCol w:w="1560"/>
        <w:gridCol w:w="1559"/>
        <w:gridCol w:w="1134"/>
        <w:gridCol w:w="1501"/>
        <w:gridCol w:w="1181"/>
      </w:tblGrid>
      <w:tr w:rsidR="00CF6076" w:rsidRPr="0049025D" w:rsidTr="00671442">
        <w:trPr>
          <w:trHeight w:val="2145"/>
        </w:trPr>
        <w:tc>
          <w:tcPr>
            <w:tcW w:w="2283" w:type="dxa"/>
            <w:tcBorders>
              <w:top w:val="single" w:sz="4" w:space="0" w:color="000000"/>
              <w:left w:val="single" w:sz="4" w:space="0" w:color="000000"/>
              <w:bottom w:val="single" w:sz="4" w:space="0" w:color="000000"/>
              <w:right w:val="single" w:sz="4" w:space="0" w:color="000000"/>
            </w:tcBorders>
            <w:shd w:val="clear" w:color="000000" w:fill="99CCFF"/>
            <w:noWrap/>
            <w:vAlign w:val="bottom"/>
            <w:hideMark/>
          </w:tcPr>
          <w:p w:rsidR="00CF6076" w:rsidRPr="007279CF"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Kohorta 55 – 74 let</w:t>
            </w:r>
          </w:p>
        </w:tc>
        <w:tc>
          <w:tcPr>
            <w:tcW w:w="1560" w:type="dxa"/>
            <w:tcBorders>
              <w:top w:val="single" w:sz="4" w:space="0" w:color="000000"/>
              <w:left w:val="nil"/>
              <w:bottom w:val="single" w:sz="4" w:space="0" w:color="000000"/>
              <w:right w:val="single" w:sz="4" w:space="0" w:color="000000"/>
            </w:tcBorders>
            <w:shd w:val="clear" w:color="000000" w:fill="99CCFF"/>
            <w:noWrap/>
            <w:vAlign w:val="bottom"/>
            <w:hideMark/>
          </w:tcPr>
          <w:p w:rsidR="00CF6076" w:rsidRPr="007279CF" w:rsidRDefault="00CF6076" w:rsidP="00982F4E">
            <w:pPr>
              <w:spacing w:before="0" w:after="0" w:line="360" w:lineRule="auto"/>
              <w:jc w:val="left"/>
              <w:rPr>
                <w:rFonts w:ascii="Arial" w:eastAsia="Times New Roman" w:hAnsi="Arial" w:cs="Arial"/>
                <w:sz w:val="16"/>
                <w:szCs w:val="16"/>
                <w:lang w:eastAsia="cs-CZ"/>
              </w:rPr>
            </w:pPr>
            <w:r w:rsidRPr="007279CF">
              <w:rPr>
                <w:rFonts w:ascii="Arial" w:eastAsia="Times New Roman" w:hAnsi="Arial" w:cs="Arial"/>
                <w:sz w:val="16"/>
                <w:szCs w:val="16"/>
                <w:lang w:eastAsia="cs-CZ"/>
              </w:rPr>
              <w:t>Osoby, které získaly IT dovednosti v rámci formálního školního vzdělávání</w:t>
            </w:r>
          </w:p>
        </w:tc>
        <w:tc>
          <w:tcPr>
            <w:tcW w:w="1559" w:type="dxa"/>
            <w:tcBorders>
              <w:top w:val="single" w:sz="4" w:space="0" w:color="000000"/>
              <w:left w:val="nil"/>
              <w:bottom w:val="single" w:sz="4" w:space="0" w:color="000000"/>
              <w:right w:val="single" w:sz="4" w:space="0" w:color="000000"/>
            </w:tcBorders>
            <w:shd w:val="clear" w:color="000000" w:fill="99CCFF"/>
            <w:noWrap/>
            <w:vAlign w:val="bottom"/>
            <w:hideMark/>
          </w:tcPr>
          <w:p w:rsidR="00CF6076" w:rsidRPr="007279CF" w:rsidRDefault="00CF6076" w:rsidP="00982F4E">
            <w:pPr>
              <w:spacing w:before="0" w:after="0" w:line="360" w:lineRule="auto"/>
              <w:jc w:val="left"/>
              <w:rPr>
                <w:rFonts w:ascii="Arial" w:eastAsia="Times New Roman" w:hAnsi="Arial" w:cs="Arial"/>
                <w:sz w:val="16"/>
                <w:szCs w:val="16"/>
                <w:lang w:eastAsia="cs-CZ"/>
              </w:rPr>
            </w:pPr>
            <w:r w:rsidRPr="007279CF">
              <w:rPr>
                <w:rFonts w:ascii="Arial" w:eastAsia="Times New Roman" w:hAnsi="Arial" w:cs="Arial"/>
                <w:sz w:val="16"/>
                <w:szCs w:val="16"/>
                <w:lang w:eastAsia="cs-CZ"/>
              </w:rPr>
              <w:t>Osoby, které získaly IT dovednosti ze své vlastní inciativy v rámci celoživotního vzdělávání</w:t>
            </w:r>
          </w:p>
        </w:tc>
        <w:tc>
          <w:tcPr>
            <w:tcW w:w="1134" w:type="dxa"/>
            <w:tcBorders>
              <w:top w:val="single" w:sz="4" w:space="0" w:color="000000"/>
              <w:left w:val="nil"/>
              <w:bottom w:val="single" w:sz="4" w:space="0" w:color="000000"/>
              <w:right w:val="single" w:sz="4" w:space="0" w:color="000000"/>
            </w:tcBorders>
            <w:shd w:val="clear" w:color="000000" w:fill="99CCFF"/>
            <w:noWrap/>
            <w:vAlign w:val="bottom"/>
            <w:hideMark/>
          </w:tcPr>
          <w:p w:rsidR="00CF6076" w:rsidRPr="007279CF" w:rsidRDefault="00CF6076" w:rsidP="00982F4E">
            <w:pPr>
              <w:spacing w:before="0" w:after="0" w:line="360" w:lineRule="auto"/>
              <w:jc w:val="left"/>
              <w:rPr>
                <w:rFonts w:ascii="Arial" w:eastAsia="Times New Roman" w:hAnsi="Arial" w:cs="Arial"/>
                <w:sz w:val="16"/>
                <w:szCs w:val="16"/>
                <w:lang w:eastAsia="cs-CZ"/>
              </w:rPr>
            </w:pPr>
            <w:r w:rsidRPr="007279CF">
              <w:rPr>
                <w:rFonts w:ascii="Arial" w:eastAsia="Times New Roman" w:hAnsi="Arial" w:cs="Arial"/>
                <w:sz w:val="16"/>
                <w:szCs w:val="16"/>
                <w:lang w:eastAsia="cs-CZ"/>
              </w:rPr>
              <w:t>Osoby, které získaly IT dovednosti v rámci pracovní kvalifikace</w:t>
            </w:r>
          </w:p>
        </w:tc>
        <w:tc>
          <w:tcPr>
            <w:tcW w:w="1501" w:type="dxa"/>
            <w:tcBorders>
              <w:top w:val="single" w:sz="4" w:space="0" w:color="000000"/>
              <w:left w:val="nil"/>
              <w:bottom w:val="single" w:sz="4" w:space="0" w:color="000000"/>
              <w:right w:val="single" w:sz="4" w:space="0" w:color="000000"/>
            </w:tcBorders>
            <w:shd w:val="clear" w:color="000000" w:fill="99CCFF"/>
            <w:noWrap/>
            <w:vAlign w:val="bottom"/>
            <w:hideMark/>
          </w:tcPr>
          <w:p w:rsidR="00CF6076" w:rsidRPr="007279CF" w:rsidRDefault="00CF6076" w:rsidP="00982F4E">
            <w:pPr>
              <w:spacing w:before="0" w:after="0" w:line="360" w:lineRule="auto"/>
              <w:jc w:val="left"/>
              <w:rPr>
                <w:rFonts w:ascii="Arial" w:eastAsia="Times New Roman" w:hAnsi="Arial" w:cs="Arial"/>
                <w:sz w:val="16"/>
                <w:szCs w:val="16"/>
                <w:lang w:eastAsia="cs-CZ"/>
              </w:rPr>
            </w:pPr>
            <w:r w:rsidRPr="007279CF">
              <w:rPr>
                <w:rFonts w:ascii="Arial" w:eastAsia="Times New Roman" w:hAnsi="Arial" w:cs="Arial"/>
                <w:sz w:val="16"/>
                <w:szCs w:val="16"/>
                <w:lang w:eastAsia="cs-CZ"/>
              </w:rPr>
              <w:t>Osoby, které získaly IT dovednosti v rámci samostudia s využitím učebních materiálů (knihy, CD apod.)</w:t>
            </w:r>
          </w:p>
        </w:tc>
        <w:tc>
          <w:tcPr>
            <w:tcW w:w="1181" w:type="dxa"/>
            <w:tcBorders>
              <w:top w:val="single" w:sz="4" w:space="0" w:color="000000"/>
              <w:left w:val="nil"/>
              <w:bottom w:val="single" w:sz="4" w:space="0" w:color="000000"/>
              <w:right w:val="single" w:sz="4" w:space="0" w:color="000000"/>
            </w:tcBorders>
            <w:shd w:val="clear" w:color="000000" w:fill="99CCFF"/>
            <w:noWrap/>
            <w:vAlign w:val="bottom"/>
            <w:hideMark/>
          </w:tcPr>
          <w:p w:rsidR="00CF6076" w:rsidRPr="007279CF" w:rsidRDefault="00CF6076" w:rsidP="00982F4E">
            <w:pPr>
              <w:spacing w:before="0" w:after="0" w:line="360" w:lineRule="auto"/>
              <w:jc w:val="left"/>
              <w:rPr>
                <w:rFonts w:ascii="Arial" w:eastAsia="Times New Roman" w:hAnsi="Arial" w:cs="Arial"/>
                <w:sz w:val="16"/>
                <w:szCs w:val="16"/>
                <w:lang w:eastAsia="cs-CZ"/>
              </w:rPr>
            </w:pPr>
            <w:r w:rsidRPr="007279CF">
              <w:rPr>
                <w:rFonts w:ascii="Arial" w:eastAsia="Times New Roman" w:hAnsi="Arial" w:cs="Arial"/>
                <w:sz w:val="16"/>
                <w:szCs w:val="16"/>
                <w:lang w:eastAsia="cs-CZ"/>
              </w:rPr>
              <w:t>Osoby, které získaly IT dovednosti převážně samostatně metodou pokus-omyl</w:t>
            </w:r>
          </w:p>
        </w:tc>
      </w:tr>
      <w:tr w:rsidR="00CF6076" w:rsidRPr="0049025D" w:rsidTr="00671442">
        <w:trPr>
          <w:trHeight w:val="298"/>
        </w:trPr>
        <w:tc>
          <w:tcPr>
            <w:tcW w:w="2283"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EU 28</w:t>
            </w:r>
          </w:p>
        </w:tc>
        <w:tc>
          <w:tcPr>
            <w:tcW w:w="1560"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4</w:t>
            </w:r>
          </w:p>
        </w:tc>
        <w:tc>
          <w:tcPr>
            <w:tcW w:w="1559"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12</w:t>
            </w:r>
          </w:p>
        </w:tc>
        <w:tc>
          <w:tcPr>
            <w:tcW w:w="1134"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15</w:t>
            </w:r>
          </w:p>
        </w:tc>
        <w:tc>
          <w:tcPr>
            <w:tcW w:w="150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13</w:t>
            </w:r>
          </w:p>
        </w:tc>
        <w:tc>
          <w:tcPr>
            <w:tcW w:w="118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32</w:t>
            </w:r>
          </w:p>
        </w:tc>
      </w:tr>
      <w:tr w:rsidR="00CF6076" w:rsidRPr="0049025D" w:rsidTr="00671442">
        <w:trPr>
          <w:trHeight w:val="298"/>
        </w:trPr>
        <w:tc>
          <w:tcPr>
            <w:tcW w:w="2283"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Belgie</w:t>
            </w:r>
          </w:p>
        </w:tc>
        <w:tc>
          <w:tcPr>
            <w:tcW w:w="1560"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3</w:t>
            </w:r>
          </w:p>
        </w:tc>
        <w:tc>
          <w:tcPr>
            <w:tcW w:w="1559"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13</w:t>
            </w:r>
          </w:p>
        </w:tc>
        <w:tc>
          <w:tcPr>
            <w:tcW w:w="1134"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14</w:t>
            </w:r>
          </w:p>
        </w:tc>
        <w:tc>
          <w:tcPr>
            <w:tcW w:w="150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14</w:t>
            </w:r>
          </w:p>
        </w:tc>
        <w:tc>
          <w:tcPr>
            <w:tcW w:w="118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37</w:t>
            </w:r>
          </w:p>
        </w:tc>
      </w:tr>
      <w:tr w:rsidR="00CF6076" w:rsidRPr="0049025D" w:rsidTr="00671442">
        <w:trPr>
          <w:trHeight w:val="298"/>
        </w:trPr>
        <w:tc>
          <w:tcPr>
            <w:tcW w:w="2283"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Bulharsko</w:t>
            </w:r>
          </w:p>
        </w:tc>
        <w:tc>
          <w:tcPr>
            <w:tcW w:w="1560"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2</w:t>
            </w:r>
          </w:p>
        </w:tc>
        <w:tc>
          <w:tcPr>
            <w:tcW w:w="1559"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3</w:t>
            </w:r>
          </w:p>
        </w:tc>
        <w:tc>
          <w:tcPr>
            <w:tcW w:w="1134"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4</w:t>
            </w:r>
          </w:p>
        </w:tc>
        <w:tc>
          <w:tcPr>
            <w:tcW w:w="150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4</w:t>
            </w:r>
          </w:p>
        </w:tc>
        <w:tc>
          <w:tcPr>
            <w:tcW w:w="118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13</w:t>
            </w:r>
          </w:p>
        </w:tc>
      </w:tr>
      <w:tr w:rsidR="00CF6076" w:rsidRPr="0049025D" w:rsidTr="00671442">
        <w:trPr>
          <w:trHeight w:val="298"/>
        </w:trPr>
        <w:tc>
          <w:tcPr>
            <w:tcW w:w="2283" w:type="dxa"/>
            <w:tcBorders>
              <w:top w:val="nil"/>
              <w:left w:val="single" w:sz="4" w:space="0" w:color="000000"/>
              <w:bottom w:val="single" w:sz="4" w:space="0" w:color="000000"/>
              <w:right w:val="single" w:sz="4" w:space="0" w:color="000000"/>
            </w:tcBorders>
            <w:shd w:val="clear" w:color="auto" w:fill="FFFF00"/>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Česká republika</w:t>
            </w:r>
          </w:p>
        </w:tc>
        <w:tc>
          <w:tcPr>
            <w:tcW w:w="1560" w:type="dxa"/>
            <w:tcBorders>
              <w:top w:val="nil"/>
              <w:left w:val="nil"/>
              <w:bottom w:val="single" w:sz="4" w:space="0" w:color="000000"/>
              <w:right w:val="single" w:sz="4" w:space="0" w:color="000000"/>
            </w:tcBorders>
            <w:shd w:val="clear" w:color="auto" w:fill="FFFF00"/>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2</w:t>
            </w:r>
          </w:p>
        </w:tc>
        <w:tc>
          <w:tcPr>
            <w:tcW w:w="1559" w:type="dxa"/>
            <w:tcBorders>
              <w:top w:val="nil"/>
              <w:left w:val="nil"/>
              <w:bottom w:val="single" w:sz="4" w:space="0" w:color="000000"/>
              <w:right w:val="single" w:sz="4" w:space="0" w:color="000000"/>
            </w:tcBorders>
            <w:shd w:val="clear" w:color="auto" w:fill="FFFF00"/>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6</w:t>
            </w:r>
          </w:p>
        </w:tc>
        <w:tc>
          <w:tcPr>
            <w:tcW w:w="1134" w:type="dxa"/>
            <w:tcBorders>
              <w:top w:val="nil"/>
              <w:left w:val="nil"/>
              <w:bottom w:val="single" w:sz="4" w:space="0" w:color="000000"/>
              <w:right w:val="single" w:sz="4" w:space="0" w:color="000000"/>
            </w:tcBorders>
            <w:shd w:val="clear" w:color="auto" w:fill="FFFF00"/>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15</w:t>
            </w:r>
          </w:p>
        </w:tc>
        <w:tc>
          <w:tcPr>
            <w:tcW w:w="1501" w:type="dxa"/>
            <w:tcBorders>
              <w:top w:val="nil"/>
              <w:left w:val="nil"/>
              <w:bottom w:val="single" w:sz="4" w:space="0" w:color="000000"/>
              <w:right w:val="single" w:sz="4" w:space="0" w:color="000000"/>
            </w:tcBorders>
            <w:shd w:val="clear" w:color="auto" w:fill="FFFF00"/>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20</w:t>
            </w:r>
          </w:p>
        </w:tc>
        <w:tc>
          <w:tcPr>
            <w:tcW w:w="1181" w:type="dxa"/>
            <w:tcBorders>
              <w:top w:val="nil"/>
              <w:left w:val="nil"/>
              <w:bottom w:val="single" w:sz="4" w:space="0" w:color="000000"/>
              <w:right w:val="single" w:sz="4" w:space="0" w:color="000000"/>
            </w:tcBorders>
            <w:shd w:val="clear" w:color="auto" w:fill="FFFF00"/>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21</w:t>
            </w:r>
          </w:p>
        </w:tc>
      </w:tr>
      <w:tr w:rsidR="00CF6076" w:rsidRPr="0049025D" w:rsidTr="00671442">
        <w:trPr>
          <w:trHeight w:val="298"/>
        </w:trPr>
        <w:tc>
          <w:tcPr>
            <w:tcW w:w="2283"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Dánsko</w:t>
            </w:r>
          </w:p>
        </w:tc>
        <w:tc>
          <w:tcPr>
            <w:tcW w:w="1560"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9</w:t>
            </w:r>
          </w:p>
        </w:tc>
        <w:tc>
          <w:tcPr>
            <w:tcW w:w="1559"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19</w:t>
            </w:r>
          </w:p>
        </w:tc>
        <w:tc>
          <w:tcPr>
            <w:tcW w:w="1134"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26</w:t>
            </w:r>
          </w:p>
        </w:tc>
        <w:tc>
          <w:tcPr>
            <w:tcW w:w="150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17</w:t>
            </w:r>
          </w:p>
        </w:tc>
        <w:tc>
          <w:tcPr>
            <w:tcW w:w="118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39</w:t>
            </w:r>
          </w:p>
        </w:tc>
      </w:tr>
      <w:tr w:rsidR="00CF6076" w:rsidRPr="0049025D" w:rsidTr="00671442">
        <w:trPr>
          <w:trHeight w:val="298"/>
        </w:trPr>
        <w:tc>
          <w:tcPr>
            <w:tcW w:w="2283"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Německo</w:t>
            </w:r>
          </w:p>
        </w:tc>
        <w:tc>
          <w:tcPr>
            <w:tcW w:w="1560"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7</w:t>
            </w:r>
          </w:p>
        </w:tc>
        <w:tc>
          <w:tcPr>
            <w:tcW w:w="1559"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28</w:t>
            </w:r>
          </w:p>
        </w:tc>
        <w:tc>
          <w:tcPr>
            <w:tcW w:w="1134"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16</w:t>
            </w:r>
          </w:p>
        </w:tc>
        <w:tc>
          <w:tcPr>
            <w:tcW w:w="150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18</w:t>
            </w:r>
          </w:p>
        </w:tc>
        <w:tc>
          <w:tcPr>
            <w:tcW w:w="118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37</w:t>
            </w:r>
          </w:p>
        </w:tc>
      </w:tr>
      <w:tr w:rsidR="00CF6076" w:rsidRPr="0049025D" w:rsidTr="00671442">
        <w:trPr>
          <w:trHeight w:val="298"/>
        </w:trPr>
        <w:tc>
          <w:tcPr>
            <w:tcW w:w="2283"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Estonsko</w:t>
            </w:r>
          </w:p>
        </w:tc>
        <w:tc>
          <w:tcPr>
            <w:tcW w:w="1560"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3</w:t>
            </w:r>
          </w:p>
        </w:tc>
        <w:tc>
          <w:tcPr>
            <w:tcW w:w="1559"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11</w:t>
            </w:r>
          </w:p>
        </w:tc>
        <w:tc>
          <w:tcPr>
            <w:tcW w:w="1134"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10</w:t>
            </w:r>
          </w:p>
        </w:tc>
        <w:tc>
          <w:tcPr>
            <w:tcW w:w="150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24</w:t>
            </w:r>
          </w:p>
        </w:tc>
        <w:tc>
          <w:tcPr>
            <w:tcW w:w="118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38</w:t>
            </w:r>
          </w:p>
        </w:tc>
      </w:tr>
      <w:tr w:rsidR="00CF6076" w:rsidRPr="0049025D" w:rsidTr="00671442">
        <w:trPr>
          <w:trHeight w:val="298"/>
        </w:trPr>
        <w:tc>
          <w:tcPr>
            <w:tcW w:w="2283"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Irsko</w:t>
            </w:r>
          </w:p>
        </w:tc>
        <w:tc>
          <w:tcPr>
            <w:tcW w:w="1560"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4</w:t>
            </w:r>
          </w:p>
        </w:tc>
        <w:tc>
          <w:tcPr>
            <w:tcW w:w="1559"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9</w:t>
            </w:r>
          </w:p>
        </w:tc>
        <w:tc>
          <w:tcPr>
            <w:tcW w:w="1134"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15</w:t>
            </w:r>
          </w:p>
        </w:tc>
        <w:tc>
          <w:tcPr>
            <w:tcW w:w="150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10</w:t>
            </w:r>
          </w:p>
        </w:tc>
        <w:tc>
          <w:tcPr>
            <w:tcW w:w="118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21</w:t>
            </w:r>
          </w:p>
        </w:tc>
      </w:tr>
      <w:tr w:rsidR="00CF6076" w:rsidRPr="0049025D" w:rsidTr="00671442">
        <w:trPr>
          <w:trHeight w:val="298"/>
        </w:trPr>
        <w:tc>
          <w:tcPr>
            <w:tcW w:w="2283"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Řecko</w:t>
            </w:r>
          </w:p>
        </w:tc>
        <w:tc>
          <w:tcPr>
            <w:tcW w:w="1560"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NA</w:t>
            </w:r>
          </w:p>
        </w:tc>
        <w:tc>
          <w:tcPr>
            <w:tcW w:w="1559"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3</w:t>
            </w:r>
          </w:p>
        </w:tc>
        <w:tc>
          <w:tcPr>
            <w:tcW w:w="1134"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3</w:t>
            </w:r>
          </w:p>
        </w:tc>
        <w:tc>
          <w:tcPr>
            <w:tcW w:w="150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1</w:t>
            </w:r>
          </w:p>
        </w:tc>
        <w:tc>
          <w:tcPr>
            <w:tcW w:w="118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11</w:t>
            </w:r>
          </w:p>
        </w:tc>
      </w:tr>
      <w:tr w:rsidR="00CF6076" w:rsidRPr="0049025D" w:rsidTr="00671442">
        <w:trPr>
          <w:trHeight w:val="298"/>
        </w:trPr>
        <w:tc>
          <w:tcPr>
            <w:tcW w:w="2283"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Španělsko</w:t>
            </w:r>
          </w:p>
        </w:tc>
        <w:tc>
          <w:tcPr>
            <w:tcW w:w="1560"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2</w:t>
            </w:r>
          </w:p>
        </w:tc>
        <w:tc>
          <w:tcPr>
            <w:tcW w:w="1559"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9</w:t>
            </w:r>
          </w:p>
        </w:tc>
        <w:tc>
          <w:tcPr>
            <w:tcW w:w="1134"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10</w:t>
            </w:r>
          </w:p>
        </w:tc>
        <w:tc>
          <w:tcPr>
            <w:tcW w:w="150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7</w:t>
            </w:r>
          </w:p>
        </w:tc>
        <w:tc>
          <w:tcPr>
            <w:tcW w:w="118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28</w:t>
            </w:r>
          </w:p>
        </w:tc>
      </w:tr>
      <w:tr w:rsidR="00CF6076" w:rsidRPr="0049025D" w:rsidTr="00671442">
        <w:trPr>
          <w:trHeight w:val="298"/>
        </w:trPr>
        <w:tc>
          <w:tcPr>
            <w:tcW w:w="2283"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Francie</w:t>
            </w:r>
          </w:p>
        </w:tc>
        <w:tc>
          <w:tcPr>
            <w:tcW w:w="1560"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3</w:t>
            </w:r>
          </w:p>
        </w:tc>
        <w:tc>
          <w:tcPr>
            <w:tcW w:w="1559"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5</w:t>
            </w:r>
          </w:p>
        </w:tc>
        <w:tc>
          <w:tcPr>
            <w:tcW w:w="1134"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20</w:t>
            </w:r>
          </w:p>
        </w:tc>
        <w:tc>
          <w:tcPr>
            <w:tcW w:w="150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13</w:t>
            </w:r>
          </w:p>
        </w:tc>
        <w:tc>
          <w:tcPr>
            <w:tcW w:w="118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47</w:t>
            </w:r>
          </w:p>
        </w:tc>
      </w:tr>
      <w:tr w:rsidR="00CF6076" w:rsidRPr="0049025D" w:rsidTr="00671442">
        <w:trPr>
          <w:trHeight w:val="233"/>
        </w:trPr>
        <w:tc>
          <w:tcPr>
            <w:tcW w:w="2283"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Chorvatsko</w:t>
            </w:r>
          </w:p>
        </w:tc>
        <w:tc>
          <w:tcPr>
            <w:tcW w:w="1560"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2</w:t>
            </w:r>
          </w:p>
        </w:tc>
        <w:tc>
          <w:tcPr>
            <w:tcW w:w="1559"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3</w:t>
            </w:r>
          </w:p>
        </w:tc>
        <w:tc>
          <w:tcPr>
            <w:tcW w:w="1134"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5</w:t>
            </w:r>
          </w:p>
        </w:tc>
        <w:tc>
          <w:tcPr>
            <w:tcW w:w="150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6</w:t>
            </w:r>
          </w:p>
        </w:tc>
        <w:tc>
          <w:tcPr>
            <w:tcW w:w="118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10</w:t>
            </w:r>
          </w:p>
        </w:tc>
      </w:tr>
      <w:tr w:rsidR="00CF6076" w:rsidRPr="0049025D" w:rsidTr="00671442">
        <w:trPr>
          <w:trHeight w:val="237"/>
        </w:trPr>
        <w:tc>
          <w:tcPr>
            <w:tcW w:w="2283"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Itálie</w:t>
            </w:r>
          </w:p>
        </w:tc>
        <w:tc>
          <w:tcPr>
            <w:tcW w:w="1560"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1</w:t>
            </w:r>
          </w:p>
        </w:tc>
        <w:tc>
          <w:tcPr>
            <w:tcW w:w="1559"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4</w:t>
            </w:r>
          </w:p>
        </w:tc>
        <w:tc>
          <w:tcPr>
            <w:tcW w:w="1134"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6</w:t>
            </w:r>
          </w:p>
        </w:tc>
        <w:tc>
          <w:tcPr>
            <w:tcW w:w="150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6</w:t>
            </w:r>
          </w:p>
        </w:tc>
        <w:tc>
          <w:tcPr>
            <w:tcW w:w="118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19</w:t>
            </w:r>
          </w:p>
        </w:tc>
      </w:tr>
      <w:tr w:rsidR="00CF6076" w:rsidRPr="0049025D" w:rsidTr="00671442">
        <w:trPr>
          <w:trHeight w:val="230"/>
        </w:trPr>
        <w:tc>
          <w:tcPr>
            <w:tcW w:w="2283"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Lotyšsko</w:t>
            </w:r>
          </w:p>
        </w:tc>
        <w:tc>
          <w:tcPr>
            <w:tcW w:w="1560"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2</w:t>
            </w:r>
          </w:p>
        </w:tc>
        <w:tc>
          <w:tcPr>
            <w:tcW w:w="1559"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8</w:t>
            </w:r>
          </w:p>
        </w:tc>
        <w:tc>
          <w:tcPr>
            <w:tcW w:w="1134"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7</w:t>
            </w:r>
          </w:p>
        </w:tc>
        <w:tc>
          <w:tcPr>
            <w:tcW w:w="150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12</w:t>
            </w:r>
          </w:p>
        </w:tc>
        <w:tc>
          <w:tcPr>
            <w:tcW w:w="118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28</w:t>
            </w:r>
          </w:p>
        </w:tc>
      </w:tr>
      <w:tr w:rsidR="00CF6076" w:rsidRPr="0049025D" w:rsidTr="00671442">
        <w:trPr>
          <w:trHeight w:val="236"/>
        </w:trPr>
        <w:tc>
          <w:tcPr>
            <w:tcW w:w="2283"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Litva</w:t>
            </w:r>
          </w:p>
        </w:tc>
        <w:tc>
          <w:tcPr>
            <w:tcW w:w="1560"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1</w:t>
            </w:r>
          </w:p>
        </w:tc>
        <w:tc>
          <w:tcPr>
            <w:tcW w:w="1559"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5</w:t>
            </w:r>
          </w:p>
        </w:tc>
        <w:tc>
          <w:tcPr>
            <w:tcW w:w="1134"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6</w:t>
            </w:r>
          </w:p>
        </w:tc>
        <w:tc>
          <w:tcPr>
            <w:tcW w:w="150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5</w:t>
            </w:r>
          </w:p>
        </w:tc>
        <w:tc>
          <w:tcPr>
            <w:tcW w:w="118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8</w:t>
            </w:r>
          </w:p>
        </w:tc>
      </w:tr>
      <w:tr w:rsidR="00CF6076" w:rsidRPr="0049025D" w:rsidTr="00671442">
        <w:trPr>
          <w:trHeight w:val="224"/>
        </w:trPr>
        <w:tc>
          <w:tcPr>
            <w:tcW w:w="2283"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Lucembursko</w:t>
            </w:r>
          </w:p>
        </w:tc>
        <w:tc>
          <w:tcPr>
            <w:tcW w:w="1560"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6</w:t>
            </w:r>
          </w:p>
        </w:tc>
        <w:tc>
          <w:tcPr>
            <w:tcW w:w="1559"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21</w:t>
            </w:r>
          </w:p>
        </w:tc>
        <w:tc>
          <w:tcPr>
            <w:tcW w:w="1134"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33</w:t>
            </w:r>
          </w:p>
        </w:tc>
        <w:tc>
          <w:tcPr>
            <w:tcW w:w="150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24</w:t>
            </w:r>
          </w:p>
        </w:tc>
        <w:tc>
          <w:tcPr>
            <w:tcW w:w="118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48</w:t>
            </w:r>
          </w:p>
        </w:tc>
      </w:tr>
      <w:tr w:rsidR="00CF6076" w:rsidRPr="0049025D" w:rsidTr="00671442">
        <w:trPr>
          <w:trHeight w:val="215"/>
        </w:trPr>
        <w:tc>
          <w:tcPr>
            <w:tcW w:w="2283"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Maďarsko</w:t>
            </w:r>
          </w:p>
        </w:tc>
        <w:tc>
          <w:tcPr>
            <w:tcW w:w="1560"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2</w:t>
            </w:r>
          </w:p>
        </w:tc>
        <w:tc>
          <w:tcPr>
            <w:tcW w:w="1559"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10</w:t>
            </w:r>
          </w:p>
        </w:tc>
        <w:tc>
          <w:tcPr>
            <w:tcW w:w="1134"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11</w:t>
            </w:r>
          </w:p>
        </w:tc>
        <w:tc>
          <w:tcPr>
            <w:tcW w:w="150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20</w:t>
            </w:r>
          </w:p>
        </w:tc>
        <w:tc>
          <w:tcPr>
            <w:tcW w:w="118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32</w:t>
            </w:r>
          </w:p>
        </w:tc>
      </w:tr>
      <w:tr w:rsidR="00CF6076" w:rsidRPr="0049025D" w:rsidTr="00671442">
        <w:trPr>
          <w:trHeight w:val="208"/>
        </w:trPr>
        <w:tc>
          <w:tcPr>
            <w:tcW w:w="2283"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Nizozemí</w:t>
            </w:r>
          </w:p>
        </w:tc>
        <w:tc>
          <w:tcPr>
            <w:tcW w:w="1560"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7</w:t>
            </w:r>
          </w:p>
        </w:tc>
        <w:tc>
          <w:tcPr>
            <w:tcW w:w="1559"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13</w:t>
            </w:r>
          </w:p>
        </w:tc>
        <w:tc>
          <w:tcPr>
            <w:tcW w:w="1134"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29</w:t>
            </w:r>
          </w:p>
        </w:tc>
        <w:tc>
          <w:tcPr>
            <w:tcW w:w="150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16</w:t>
            </w:r>
          </w:p>
        </w:tc>
        <w:tc>
          <w:tcPr>
            <w:tcW w:w="118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55</w:t>
            </w:r>
          </w:p>
        </w:tc>
      </w:tr>
      <w:tr w:rsidR="00CF6076" w:rsidRPr="0049025D" w:rsidTr="00671442">
        <w:trPr>
          <w:trHeight w:val="211"/>
        </w:trPr>
        <w:tc>
          <w:tcPr>
            <w:tcW w:w="2283"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Rakousko</w:t>
            </w:r>
          </w:p>
        </w:tc>
        <w:tc>
          <w:tcPr>
            <w:tcW w:w="1560"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5</w:t>
            </w:r>
          </w:p>
        </w:tc>
        <w:tc>
          <w:tcPr>
            <w:tcW w:w="1559"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18</w:t>
            </w:r>
          </w:p>
        </w:tc>
        <w:tc>
          <w:tcPr>
            <w:tcW w:w="1134"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21</w:t>
            </w:r>
          </w:p>
        </w:tc>
        <w:tc>
          <w:tcPr>
            <w:tcW w:w="150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24</w:t>
            </w:r>
          </w:p>
        </w:tc>
        <w:tc>
          <w:tcPr>
            <w:tcW w:w="118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41</w:t>
            </w:r>
          </w:p>
        </w:tc>
      </w:tr>
      <w:tr w:rsidR="00CF6076" w:rsidRPr="0049025D" w:rsidTr="00671442">
        <w:trPr>
          <w:trHeight w:val="202"/>
        </w:trPr>
        <w:tc>
          <w:tcPr>
            <w:tcW w:w="2283"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Polsko</w:t>
            </w:r>
          </w:p>
        </w:tc>
        <w:tc>
          <w:tcPr>
            <w:tcW w:w="1560"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1</w:t>
            </w:r>
          </w:p>
        </w:tc>
        <w:tc>
          <w:tcPr>
            <w:tcW w:w="1559"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2</w:t>
            </w:r>
          </w:p>
        </w:tc>
        <w:tc>
          <w:tcPr>
            <w:tcW w:w="1134"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5</w:t>
            </w:r>
          </w:p>
        </w:tc>
        <w:tc>
          <w:tcPr>
            <w:tcW w:w="150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5</w:t>
            </w:r>
          </w:p>
        </w:tc>
        <w:tc>
          <w:tcPr>
            <w:tcW w:w="118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17</w:t>
            </w:r>
          </w:p>
        </w:tc>
      </w:tr>
      <w:tr w:rsidR="00CF6076" w:rsidRPr="0049025D" w:rsidTr="00671442">
        <w:trPr>
          <w:trHeight w:val="205"/>
        </w:trPr>
        <w:tc>
          <w:tcPr>
            <w:tcW w:w="2283"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Portugalsko</w:t>
            </w:r>
          </w:p>
        </w:tc>
        <w:tc>
          <w:tcPr>
            <w:tcW w:w="1560"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3</w:t>
            </w:r>
          </w:p>
        </w:tc>
        <w:tc>
          <w:tcPr>
            <w:tcW w:w="1559"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8</w:t>
            </w:r>
          </w:p>
        </w:tc>
        <w:tc>
          <w:tcPr>
            <w:tcW w:w="1134"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10</w:t>
            </w:r>
          </w:p>
        </w:tc>
        <w:tc>
          <w:tcPr>
            <w:tcW w:w="150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7</w:t>
            </w:r>
          </w:p>
        </w:tc>
        <w:tc>
          <w:tcPr>
            <w:tcW w:w="118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22</w:t>
            </w:r>
          </w:p>
        </w:tc>
      </w:tr>
      <w:tr w:rsidR="00CF6076" w:rsidRPr="0049025D" w:rsidTr="00671442">
        <w:trPr>
          <w:trHeight w:val="196"/>
        </w:trPr>
        <w:tc>
          <w:tcPr>
            <w:tcW w:w="2283"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Rumunsko</w:t>
            </w:r>
          </w:p>
        </w:tc>
        <w:tc>
          <w:tcPr>
            <w:tcW w:w="1560"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1</w:t>
            </w:r>
          </w:p>
        </w:tc>
        <w:tc>
          <w:tcPr>
            <w:tcW w:w="1559"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1</w:t>
            </w:r>
          </w:p>
        </w:tc>
        <w:tc>
          <w:tcPr>
            <w:tcW w:w="1134"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1</w:t>
            </w:r>
          </w:p>
        </w:tc>
        <w:tc>
          <w:tcPr>
            <w:tcW w:w="150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3</w:t>
            </w:r>
          </w:p>
        </w:tc>
        <w:tc>
          <w:tcPr>
            <w:tcW w:w="118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7</w:t>
            </w:r>
          </w:p>
        </w:tc>
      </w:tr>
      <w:tr w:rsidR="00CF6076" w:rsidRPr="0049025D" w:rsidTr="00671442">
        <w:trPr>
          <w:trHeight w:val="199"/>
        </w:trPr>
        <w:tc>
          <w:tcPr>
            <w:tcW w:w="2283"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Slovinsko</w:t>
            </w:r>
          </w:p>
        </w:tc>
        <w:tc>
          <w:tcPr>
            <w:tcW w:w="1560"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5</w:t>
            </w:r>
          </w:p>
        </w:tc>
        <w:tc>
          <w:tcPr>
            <w:tcW w:w="1559"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9</w:t>
            </w:r>
          </w:p>
        </w:tc>
        <w:tc>
          <w:tcPr>
            <w:tcW w:w="1134"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18</w:t>
            </w:r>
          </w:p>
        </w:tc>
        <w:tc>
          <w:tcPr>
            <w:tcW w:w="150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17</w:t>
            </w:r>
          </w:p>
        </w:tc>
        <w:tc>
          <w:tcPr>
            <w:tcW w:w="118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34</w:t>
            </w:r>
          </w:p>
        </w:tc>
      </w:tr>
      <w:tr w:rsidR="00CF6076" w:rsidRPr="0049025D" w:rsidTr="00671442">
        <w:trPr>
          <w:trHeight w:val="204"/>
        </w:trPr>
        <w:tc>
          <w:tcPr>
            <w:tcW w:w="2283"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Slovensko</w:t>
            </w:r>
          </w:p>
        </w:tc>
        <w:tc>
          <w:tcPr>
            <w:tcW w:w="1560"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3</w:t>
            </w:r>
          </w:p>
        </w:tc>
        <w:tc>
          <w:tcPr>
            <w:tcW w:w="1559"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7</w:t>
            </w:r>
          </w:p>
        </w:tc>
        <w:tc>
          <w:tcPr>
            <w:tcW w:w="1134"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11</w:t>
            </w:r>
          </w:p>
        </w:tc>
        <w:tc>
          <w:tcPr>
            <w:tcW w:w="150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13</w:t>
            </w:r>
          </w:p>
        </w:tc>
        <w:tc>
          <w:tcPr>
            <w:tcW w:w="118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28</w:t>
            </w:r>
          </w:p>
        </w:tc>
      </w:tr>
      <w:tr w:rsidR="00CF6076" w:rsidRPr="0049025D" w:rsidTr="00671442">
        <w:trPr>
          <w:trHeight w:val="193"/>
        </w:trPr>
        <w:tc>
          <w:tcPr>
            <w:tcW w:w="2283"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Finsko</w:t>
            </w:r>
          </w:p>
        </w:tc>
        <w:tc>
          <w:tcPr>
            <w:tcW w:w="1560"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9</w:t>
            </w:r>
          </w:p>
        </w:tc>
        <w:tc>
          <w:tcPr>
            <w:tcW w:w="1559"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22</w:t>
            </w:r>
          </w:p>
        </w:tc>
        <w:tc>
          <w:tcPr>
            <w:tcW w:w="1134"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41</w:t>
            </w:r>
          </w:p>
        </w:tc>
        <w:tc>
          <w:tcPr>
            <w:tcW w:w="150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26</w:t>
            </w:r>
          </w:p>
        </w:tc>
        <w:tc>
          <w:tcPr>
            <w:tcW w:w="118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63</w:t>
            </w:r>
          </w:p>
        </w:tc>
      </w:tr>
      <w:tr w:rsidR="00CF6076" w:rsidRPr="0049025D" w:rsidTr="00671442">
        <w:trPr>
          <w:trHeight w:val="198"/>
        </w:trPr>
        <w:tc>
          <w:tcPr>
            <w:tcW w:w="2283"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Švédsko</w:t>
            </w:r>
          </w:p>
        </w:tc>
        <w:tc>
          <w:tcPr>
            <w:tcW w:w="1560"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12</w:t>
            </w:r>
          </w:p>
        </w:tc>
        <w:tc>
          <w:tcPr>
            <w:tcW w:w="1559"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22</w:t>
            </w:r>
          </w:p>
        </w:tc>
        <w:tc>
          <w:tcPr>
            <w:tcW w:w="1134"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55</w:t>
            </w:r>
          </w:p>
        </w:tc>
        <w:tc>
          <w:tcPr>
            <w:tcW w:w="150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27</w:t>
            </w:r>
          </w:p>
        </w:tc>
        <w:tc>
          <w:tcPr>
            <w:tcW w:w="118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75</w:t>
            </w:r>
          </w:p>
        </w:tc>
      </w:tr>
      <w:tr w:rsidR="00CF6076" w:rsidRPr="0049025D" w:rsidTr="00671442">
        <w:trPr>
          <w:trHeight w:val="186"/>
        </w:trPr>
        <w:tc>
          <w:tcPr>
            <w:tcW w:w="2283"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Velká Británie</w:t>
            </w:r>
          </w:p>
        </w:tc>
        <w:tc>
          <w:tcPr>
            <w:tcW w:w="1560"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9</w:t>
            </w:r>
          </w:p>
        </w:tc>
        <w:tc>
          <w:tcPr>
            <w:tcW w:w="1559"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15</w:t>
            </w:r>
          </w:p>
        </w:tc>
        <w:tc>
          <w:tcPr>
            <w:tcW w:w="1134"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20</w:t>
            </w:r>
          </w:p>
        </w:tc>
        <w:tc>
          <w:tcPr>
            <w:tcW w:w="150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17</w:t>
            </w:r>
          </w:p>
        </w:tc>
        <w:tc>
          <w:tcPr>
            <w:tcW w:w="118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42</w:t>
            </w:r>
          </w:p>
        </w:tc>
      </w:tr>
      <w:tr w:rsidR="00CF6076" w:rsidRPr="0049025D" w:rsidTr="00671442">
        <w:trPr>
          <w:trHeight w:val="298"/>
        </w:trPr>
        <w:tc>
          <w:tcPr>
            <w:tcW w:w="2283"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Island</w:t>
            </w:r>
          </w:p>
        </w:tc>
        <w:tc>
          <w:tcPr>
            <w:tcW w:w="1560"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12</w:t>
            </w:r>
          </w:p>
        </w:tc>
        <w:tc>
          <w:tcPr>
            <w:tcW w:w="1559"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26</w:t>
            </w:r>
          </w:p>
        </w:tc>
        <w:tc>
          <w:tcPr>
            <w:tcW w:w="1134"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35</w:t>
            </w:r>
          </w:p>
        </w:tc>
        <w:tc>
          <w:tcPr>
            <w:tcW w:w="150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30</w:t>
            </w:r>
          </w:p>
        </w:tc>
        <w:tc>
          <w:tcPr>
            <w:tcW w:w="118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68</w:t>
            </w:r>
          </w:p>
        </w:tc>
      </w:tr>
      <w:tr w:rsidR="00CF6076" w:rsidRPr="0049025D" w:rsidTr="00671442">
        <w:trPr>
          <w:trHeight w:val="298"/>
        </w:trPr>
        <w:tc>
          <w:tcPr>
            <w:tcW w:w="2283" w:type="dxa"/>
            <w:tcBorders>
              <w:top w:val="nil"/>
              <w:left w:val="single" w:sz="4" w:space="0" w:color="000000"/>
              <w:bottom w:val="single" w:sz="4" w:space="0" w:color="000000"/>
              <w:right w:val="single" w:sz="4" w:space="0" w:color="000000"/>
            </w:tcBorders>
            <w:shd w:val="clear" w:color="000000" w:fill="99CCFF"/>
            <w:noWrap/>
            <w:vAlign w:val="bottom"/>
            <w:hideMark/>
          </w:tcPr>
          <w:p w:rsidR="00CF6076" w:rsidRPr="00711FC0" w:rsidRDefault="00CF6076" w:rsidP="00982F4E">
            <w:pPr>
              <w:spacing w:before="0" w:after="0" w:line="360" w:lineRule="auto"/>
              <w:jc w:val="left"/>
              <w:rPr>
                <w:rFonts w:ascii="Arial" w:eastAsia="Times New Roman" w:hAnsi="Arial" w:cs="Arial"/>
                <w:sz w:val="16"/>
                <w:szCs w:val="16"/>
                <w:lang w:eastAsia="cs-CZ"/>
              </w:rPr>
            </w:pPr>
            <w:r>
              <w:rPr>
                <w:rFonts w:ascii="Arial" w:eastAsia="Times New Roman" w:hAnsi="Arial" w:cs="Arial"/>
                <w:sz w:val="16"/>
                <w:szCs w:val="16"/>
                <w:lang w:eastAsia="cs-CZ"/>
              </w:rPr>
              <w:t>Norsko</w:t>
            </w:r>
          </w:p>
        </w:tc>
        <w:tc>
          <w:tcPr>
            <w:tcW w:w="1560"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16</w:t>
            </w:r>
          </w:p>
        </w:tc>
        <w:tc>
          <w:tcPr>
            <w:tcW w:w="1559"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11</w:t>
            </w:r>
          </w:p>
        </w:tc>
        <w:tc>
          <w:tcPr>
            <w:tcW w:w="1134"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49</w:t>
            </w:r>
          </w:p>
        </w:tc>
        <w:tc>
          <w:tcPr>
            <w:tcW w:w="150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35</w:t>
            </w:r>
          </w:p>
        </w:tc>
        <w:tc>
          <w:tcPr>
            <w:tcW w:w="1181" w:type="dxa"/>
            <w:tcBorders>
              <w:top w:val="nil"/>
              <w:left w:val="nil"/>
              <w:bottom w:val="single" w:sz="4" w:space="0" w:color="000000"/>
              <w:right w:val="single" w:sz="4" w:space="0" w:color="000000"/>
            </w:tcBorders>
            <w:shd w:val="clear" w:color="auto" w:fill="auto"/>
            <w:noWrap/>
            <w:vAlign w:val="bottom"/>
            <w:hideMark/>
          </w:tcPr>
          <w:p w:rsidR="00CF6076" w:rsidRPr="007279CF" w:rsidRDefault="00CF6076" w:rsidP="00982F4E">
            <w:pPr>
              <w:spacing w:before="0" w:after="0" w:line="360" w:lineRule="auto"/>
              <w:jc w:val="right"/>
              <w:rPr>
                <w:rFonts w:ascii="Arial" w:eastAsia="Times New Roman" w:hAnsi="Arial" w:cs="Arial"/>
                <w:sz w:val="16"/>
                <w:szCs w:val="16"/>
                <w:lang w:eastAsia="cs-CZ"/>
              </w:rPr>
            </w:pPr>
            <w:r w:rsidRPr="007279CF">
              <w:rPr>
                <w:rFonts w:ascii="Arial" w:eastAsia="Times New Roman" w:hAnsi="Arial" w:cs="Arial"/>
                <w:sz w:val="16"/>
                <w:szCs w:val="16"/>
                <w:lang w:eastAsia="cs-CZ"/>
              </w:rPr>
              <w:t>74</w:t>
            </w:r>
          </w:p>
        </w:tc>
      </w:tr>
    </w:tbl>
    <w:p w:rsidR="00CF6076" w:rsidRDefault="00CF6076" w:rsidP="00982F4E">
      <w:pPr>
        <w:pStyle w:val="Citace1"/>
        <w:spacing w:line="360" w:lineRule="auto"/>
      </w:pPr>
      <w:r>
        <w:t>Zdroj: Eurostat 2013, NA = není k dispozici</w:t>
      </w:r>
    </w:p>
    <w:p w:rsidR="00CF6076" w:rsidRDefault="00CF6076" w:rsidP="00982F4E">
      <w:pPr>
        <w:spacing w:line="360" w:lineRule="auto"/>
      </w:pPr>
      <w:r>
        <w:lastRenderedPageBreak/>
        <w:t xml:space="preserve">V rámci populace je pak zapojení seniorů do využívání internetu rovněž podprůměrné – skupina 55+ má nejvýznamnější rozdíl mezi běžnou a internetovou populací (a to 16%). Na druhou stranu, pokud se v grafu níže podíváme na kohortu 45 – 54 let, je zjevné, že problém s nízkým zapojením seniorů do internetové ekonomiky nebude mít dlouhého trvání. V rámci konzultací internetové podniky často konstatovaly, že nízká digitální gramotnost seniorů v ČR představuje spíše než překážku rozvoje internetové ekonomiky potenciál do budoucna. </w:t>
      </w:r>
    </w:p>
    <w:p w:rsidR="00CF6076" w:rsidRDefault="00CF6076" w:rsidP="00982F4E">
      <w:pPr>
        <w:spacing w:line="360" w:lineRule="auto"/>
      </w:pPr>
      <w:r>
        <w:rPr>
          <w:noProof/>
          <w:lang w:eastAsia="cs-CZ"/>
        </w:rPr>
        <w:drawing>
          <wp:inline distT="0" distB="0" distL="0" distR="0">
            <wp:extent cx="5800725" cy="2882438"/>
            <wp:effectExtent l="0" t="0" r="0" b="0"/>
            <wp:docPr id="49"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5337" cy="2884730"/>
                    </a:xfrm>
                    <a:prstGeom prst="rect">
                      <a:avLst/>
                    </a:prstGeom>
                    <a:noFill/>
                  </pic:spPr>
                </pic:pic>
              </a:graphicData>
            </a:graphic>
          </wp:inline>
        </w:drawing>
      </w:r>
    </w:p>
    <w:tbl>
      <w:tblPr>
        <w:tblW w:w="7160" w:type="dxa"/>
        <w:tblCellMar>
          <w:left w:w="0" w:type="dxa"/>
          <w:right w:w="0" w:type="dxa"/>
        </w:tblCellMar>
        <w:tblLook w:val="0600"/>
      </w:tblPr>
      <w:tblGrid>
        <w:gridCol w:w="7160"/>
      </w:tblGrid>
      <w:tr w:rsidR="00CF6076" w:rsidRPr="00AC19DF" w:rsidTr="00EE3CDC">
        <w:trPr>
          <w:trHeight w:val="72"/>
        </w:trPr>
        <w:tc>
          <w:tcPr>
            <w:tcW w:w="7160" w:type="dxa"/>
            <w:tcBorders>
              <w:top w:val="nil"/>
              <w:left w:val="nil"/>
              <w:bottom w:val="nil"/>
              <w:right w:val="nil"/>
            </w:tcBorders>
            <w:shd w:val="clear" w:color="auto" w:fill="auto"/>
            <w:tcMar>
              <w:top w:w="15" w:type="dxa"/>
              <w:left w:w="15" w:type="dxa"/>
              <w:bottom w:w="0" w:type="dxa"/>
              <w:right w:w="15" w:type="dxa"/>
            </w:tcMar>
            <w:vAlign w:val="bottom"/>
            <w:hideMark/>
          </w:tcPr>
          <w:p w:rsidR="00CF6076" w:rsidRPr="00AC19DF" w:rsidRDefault="00CF6076" w:rsidP="00982F4E">
            <w:pPr>
              <w:spacing w:line="360" w:lineRule="auto"/>
            </w:pPr>
            <w:r w:rsidRPr="00AC19DF">
              <w:rPr>
                <w:i/>
                <w:iCs/>
              </w:rPr>
              <w:t>Zdroj: NetMonitor - SPIR - Mediaresearch &amp; Gemius, Duben 2013; ČSÚ 2011</w:t>
            </w:r>
          </w:p>
        </w:tc>
      </w:tr>
    </w:tbl>
    <w:p w:rsidR="00CF6076" w:rsidRPr="00080D64" w:rsidRDefault="0070080D" w:rsidP="00982F4E">
      <w:pPr>
        <w:spacing w:line="360" w:lineRule="auto"/>
        <w:rPr>
          <w:i/>
        </w:rPr>
      </w:pPr>
      <w:r w:rsidRPr="00080D64">
        <w:rPr>
          <w:i/>
        </w:rPr>
        <w:t>„Digitální gramotnost seniorů není problém, je to do budoucna příležitost pro nové produkty a služby.“</w:t>
      </w:r>
      <w:r w:rsidR="00080D64">
        <w:rPr>
          <w:rStyle w:val="Znakapoznpodarou"/>
          <w:i/>
        </w:rPr>
        <w:footnoteReference w:id="69"/>
      </w:r>
    </w:p>
    <w:p w:rsidR="00CF6076" w:rsidRPr="0049025D" w:rsidRDefault="00CF6076" w:rsidP="00982F4E">
      <w:pPr>
        <w:spacing w:line="360" w:lineRule="auto"/>
        <w:rPr>
          <w:b/>
        </w:rPr>
      </w:pPr>
      <w:r w:rsidRPr="0049025D">
        <w:rPr>
          <w:b/>
        </w:rPr>
        <w:t xml:space="preserve">Doporučení </w:t>
      </w:r>
    </w:p>
    <w:p w:rsidR="00CF6076" w:rsidRDefault="00CF6076" w:rsidP="00982F4E">
      <w:pPr>
        <w:spacing w:line="360" w:lineRule="auto"/>
      </w:pPr>
      <w:r w:rsidRPr="0049025D">
        <w:t xml:space="preserve">Vzhledem k tomu, že digitální gramotnost seniorů je z hlediska programů a veřejných iniciativ relativně málo rozvinutá oblast, která má nicméně velký význam nejen z hlediska internetové ekonomiky, ale i z hlediska sociálního a obecně společenského (senioři jako skupina ohrožená sociální exkluzí), jedná se o zajímavou oblast aktivit, v nichž by </w:t>
      </w:r>
      <w:r>
        <w:t>SPIR mohl být výrazným aktérem. Vzhledem k tomu, že se zároveň jedná o potenciál do budoucna (zajímavá cílová skupina pro nové služby a produkty), jedná se o zajímavou oblast pro různé typy nejen obchodních, ale i CSR aktivit.</w:t>
      </w:r>
    </w:p>
    <w:p w:rsidR="00CF6076" w:rsidRPr="00A73DE5" w:rsidRDefault="00CF6076" w:rsidP="00982F4E">
      <w:pPr>
        <w:pStyle w:val="Nadpis3"/>
        <w:numPr>
          <w:ilvl w:val="2"/>
          <w:numId w:val="1"/>
        </w:numPr>
        <w:spacing w:line="360" w:lineRule="auto"/>
      </w:pPr>
      <w:bookmarkStart w:id="44" w:name="_Toc368040312"/>
      <w:r>
        <w:t xml:space="preserve">ICT Specialisté, </w:t>
      </w:r>
      <w:r w:rsidRPr="00A73DE5">
        <w:t>kvalifikovaní uživatelé</w:t>
      </w:r>
      <w:r>
        <w:t xml:space="preserve"> a lídři</w:t>
      </w:r>
      <w:bookmarkEnd w:id="44"/>
    </w:p>
    <w:p w:rsidR="00CF6076" w:rsidRDefault="00CF6076" w:rsidP="00982F4E">
      <w:pPr>
        <w:spacing w:line="360" w:lineRule="auto"/>
      </w:pPr>
      <w:r>
        <w:t xml:space="preserve">V rámci této podkapitoly jsou shrnuty dvě překážky rozvoje internetové ekonomiky – a to dostupnost vysoce kvalifikovaných ICT specialistů a podíl a dostupnost kvalifikovaných uživatelů </w:t>
      </w:r>
      <w:r>
        <w:lastRenderedPageBreak/>
        <w:t>a zejména vedoucích pracovníků (lídrů) s nadprůměrnou znalostí možností ICT, pracovníků se specializovanými dovednostmi apod. Konzultace ukázaly, že zejména nedostatek ICT specialistů je jednou z překážek rozvoje internetové ekonomiky (střední intenzita dle konzultací).</w:t>
      </w:r>
    </w:p>
    <w:p w:rsidR="00CF6076" w:rsidRDefault="00CF6076" w:rsidP="00982F4E">
      <w:pPr>
        <w:spacing w:line="360" w:lineRule="auto"/>
      </w:pPr>
      <w:r>
        <w:t xml:space="preserve">V čem je problém? V zásadě ve dvou věcech. Jednak české školy obecně nevychovávají dostatek technicky orientovaných absolventů – což se týká i ICT specialistů. Tento problém se snaží řešit různé inciativy zástupců průmyslu, vysokých škol a MŠMT. Z hlediska EU je to problém, který se nedotýká pouze ČR, ale i dalších vyspělých států. </w:t>
      </w:r>
    </w:p>
    <w:p w:rsidR="00080D64" w:rsidRDefault="00CF6076" w:rsidP="00982F4E">
      <w:pPr>
        <w:spacing w:line="360" w:lineRule="auto"/>
      </w:pPr>
      <w:r>
        <w:t xml:space="preserve">Druhý problém je podstatně specifičtější pro ICT. Konkrétně se jedná o velmi malou diferenciaci výuky ICT na vysokých školách a z toho plynoucí naprostý nedostatek absolventů pro specializované pozice. </w:t>
      </w:r>
    </w:p>
    <w:p w:rsidR="00080D64" w:rsidRDefault="00080D64" w:rsidP="00982F4E">
      <w:pPr>
        <w:spacing w:line="360" w:lineRule="auto"/>
      </w:pPr>
      <w:r>
        <w:t>„</w:t>
      </w:r>
      <w:r w:rsidR="00CF6076" w:rsidRPr="00080D64">
        <w:rPr>
          <w:i/>
        </w:rPr>
        <w:t>Na veřejné vysoké škole je nyní v zásadě možné studovat informatiku, kybernetiku, jen velmi pomalu se začínají objevovat nové vysoce specializované ob</w:t>
      </w:r>
      <w:r w:rsidRPr="00080D64">
        <w:rPr>
          <w:i/>
        </w:rPr>
        <w:t>ory a interdisciplinární obory.“</w:t>
      </w:r>
      <w:r>
        <w:rPr>
          <w:rStyle w:val="Znakapoznpodarou"/>
          <w:i/>
        </w:rPr>
        <w:footnoteReference w:id="70"/>
      </w:r>
    </w:p>
    <w:p w:rsidR="00CF6076" w:rsidRDefault="00CF6076" w:rsidP="00982F4E">
      <w:pPr>
        <w:spacing w:line="360" w:lineRule="auto"/>
      </w:pPr>
      <w:r>
        <w:t>Podobný nedostatek specializace a interdisciplinarity se projevuje i v rámci Národní soustavy kvalifikací a Národní soustavy povolání, což jsou přehledy, podle kterých by do budoucna měl v ČR fungovat systém rekvalifikací a aktivní politiky zaměstnanosti (včetně projektů z fondů EU). Je zjevné, že na přípravě Národní soustavy povolání a Národní soustavy kvalifikací na IT obory nebyl kladen důraz – a jsou chápány velmi zúženě a bez reflexe moderních trendů. Vezmeme-li v potaz, že tyto dvě databáze se do budoucna mohou stát osnovou i pro vzdělávací programy, jeví se malá reflexe IT jako potenciální problém.</w:t>
      </w:r>
    </w:p>
    <w:p w:rsidR="00CF6076" w:rsidRPr="00A73DE5" w:rsidRDefault="00CF6076" w:rsidP="00982F4E">
      <w:pPr>
        <w:spacing w:line="360" w:lineRule="auto"/>
      </w:pPr>
      <w:r w:rsidRPr="00A73DE5">
        <w:t>Pokud se podíváme do seznamů Národní soustavy kvalifikací (</w:t>
      </w:r>
      <w:hyperlink r:id="rId38" w:history="1">
        <w:r w:rsidRPr="00A73DE5">
          <w:rPr>
            <w:rStyle w:val="Hypertextovodkaz"/>
          </w:rPr>
          <w:t>www.narodni-kvalifikace.cz</w:t>
        </w:r>
      </w:hyperlink>
      <w:r w:rsidRPr="00A73DE5">
        <w:t xml:space="preserve">), zjistíme, že kvalifikací relevantních pro oblast informační společnosti je v této soustavě zařazeno zatím minimum. Ve skupině oborů Elektrotechnika, elektrokomunikační a výpočetní technika nalezneme kvalifikaci Správce sítí pro malé a střední organizace a Technik PC a periferií, ve skupině Informatické obory nalezneme Správce operačních systémů pro malé a střední organizace a Návrhář software, v dalších oborových skupinách (např. Obchod, administrativa, stavebnictví, strojírenství apod.), které se v dnešní době v té či oné podobě bez specialistů v oblasti IT neobejdou (namátkou web-design, e-commerce, specializované softwary typu AutoCAD apod.) se IT v zásadě neobjevuje (ani jako profese, a v drtivé většině případů ani jako kvalifikační požadavek). Přitom na trhu jsou pracovníci s dobrou znalostí určitých typů softwaru, se schopností pracovat s databázemi a programátoři různých úrovní velmi žádaní a pracovní pozice vyžadující znalosti tohoto typu zůstávají dlouhodobě neobsazeny. </w:t>
      </w:r>
    </w:p>
    <w:p w:rsidR="00CF6076" w:rsidRPr="00A73DE5" w:rsidRDefault="00CF6076" w:rsidP="00982F4E">
      <w:pPr>
        <w:spacing w:line="360" w:lineRule="auto"/>
      </w:pPr>
      <w:r w:rsidRPr="00A73DE5">
        <w:lastRenderedPageBreak/>
        <w:t>Podobně národní soustava povolání (</w:t>
      </w:r>
      <w:hyperlink r:id="rId39" w:history="1">
        <w:r w:rsidRPr="00A73DE5">
          <w:rPr>
            <w:rStyle w:val="Hypertextovodkaz"/>
          </w:rPr>
          <w:t>www.nsp.cz</w:t>
        </w:r>
      </w:hyperlink>
      <w:r w:rsidRPr="00A73DE5">
        <w:t>) vykazuje v oblasti internetové ekonomiky doposud významné nedostatky (zejména chybí schválení definice a obsahu jednotlivých povolání sektorovou radou, seznam povolání je rovněž zřejmě neúplný a chybí jakákoliv interdisciplinarita. V oblasti informačních technologií nabízí katalog NSP následující profese (Inženýr IT a řídících systémů, Inženýr IT, Systémový inženýr řídícího systému, Podnikový architekt IT, Programátor analytik, Specialista správy operačních systémů a sítí, Systémový inženýr správy aplikací, Webdesigner specialista, Analytik IT, Business analytik, Návrhář databází, Návrhář software, Nákupčí informačních a komunikačních technologií, Samostatný programátor, Samostatný správce aplikací, Samostatný technik IT, Správce báze znalostí, Správce operačních systémů a sítí, Webdesigner, Správce databází, Operátor výpočetní techniky, Programátor, Správce aplikací, Správce IT, Správce operačních systémů pro malé a střední organizace, Správce sítí pro malé a střední organizace, Technik IT, Technik PC a periférií), v oblasti informačních služeb není žádná IT profese, v oblasti Obchodu je pouze Vedoucí pracovník internetového obchodu a Nákupčí pro internet, multimédia a nová média (přičemž požadavky pro tato povolání nejsou definovány příliš konkrétně či specializovaně), relevantní profese se objevují ještě ve skupině Elektronické komunikace (nicméně tam jde spíše o profese vytvářející podmínky pro infrastrukturu internetové ekonomiky), v jiných oborech se IT dovednosti objevují již jen jako kvalifikační podmínka – ovšem i zde jen ve velmi vágní podobě</w:t>
      </w:r>
      <w:r w:rsidRPr="00A73DE5">
        <w:rPr>
          <w:rStyle w:val="Znakapoznpodarou"/>
        </w:rPr>
        <w:footnoteReference w:id="71"/>
      </w:r>
      <w:r w:rsidRPr="00A73DE5">
        <w:t>, což – má-li NSP sloužit jako vodítko nejen pro podniky (které však vesměs jsou schopny jasně říci, jakou kvalifikaci na trhu hledají), ale především pro uchazeče o zaměstnání, absolventy a zaměstnance, rozhodně není dostatečné.</w:t>
      </w:r>
    </w:p>
    <w:p w:rsidR="00CF6076" w:rsidRPr="00A73DE5" w:rsidRDefault="00CF6076" w:rsidP="00982F4E">
      <w:pPr>
        <w:spacing w:line="360" w:lineRule="auto"/>
        <w:rPr>
          <w:b/>
        </w:rPr>
      </w:pPr>
      <w:r w:rsidRPr="00A73DE5">
        <w:rPr>
          <w:b/>
        </w:rPr>
        <w:t>Doporučení</w:t>
      </w:r>
    </w:p>
    <w:p w:rsidR="00CF6076" w:rsidRDefault="00CF6076" w:rsidP="00982F4E">
      <w:pPr>
        <w:spacing w:line="360" w:lineRule="auto"/>
      </w:pPr>
      <w:r w:rsidRPr="00A73DE5">
        <w:t>V této oblasti existuje prostor pro lepší definici požadavků na nové zaměstnance a jejich dovednosti</w:t>
      </w:r>
      <w:r>
        <w:t>, respektive na rovněž na obory na vysokých školách</w:t>
      </w:r>
      <w:r w:rsidRPr="00A73DE5">
        <w:t xml:space="preserve">. Z veřejných prostředků jsou každoročně vydávány vysoké dotace na rekvalifikace a další investice do lidských zdrojů, které se však z větší části orientují zcela mimo internetovou ekonomiku – neboť pracovní síla v této oblasti je stále vnímána jako „IT specialisté“ – osoby s vysokoškolským vzděláním v této oblasti a už se nezabývá tím, že na řadu pozic stačí dobře kvalifikovaní uživatelé schopní pracovat s určitým typem softwaru či programem (databází). V tomto ohledu lze iniciovat především tlak na lepší specifikaci počítačové způsobilosti a dále na větší interdisciplinaritu při definování dovedností pro určité typy pracovních pozic, která by umožnila vychovávat osoby přímo uplatnitelné v rámci internetové ekonomiky např. v obchodě, reklamě, administrativě (včetně </w:t>
      </w:r>
      <w:r w:rsidRPr="00A73DE5">
        <w:lastRenderedPageBreak/>
        <w:t>veřejné správy) apod. Prostředkem by mohlo být aktivní zapojení do činnosti MŠMT a MPSV (právě Národní soustava kvalifikací a Národní soustava povolání) a rovněž sběr dat a analýzy poptávky po jednotlivých specifických typech počítačových dovedností (pro lepší zacílení rekvalifikací a standardizace – ale i k možnému promítnutí do učebních osnov škol a dalších vzdělávacích institucí).</w:t>
      </w:r>
    </w:p>
    <w:p w:rsidR="00CF6076" w:rsidRPr="00F8752C" w:rsidRDefault="00CF6076" w:rsidP="00982F4E">
      <w:pPr>
        <w:pStyle w:val="Nadpis3"/>
        <w:numPr>
          <w:ilvl w:val="2"/>
          <w:numId w:val="1"/>
        </w:numPr>
        <w:spacing w:line="360" w:lineRule="auto"/>
      </w:pPr>
      <w:bookmarkStart w:id="45" w:name="_Toc368040313"/>
      <w:r w:rsidRPr="00F8752C">
        <w:t>Kyberbezpečnost</w:t>
      </w:r>
      <w:bookmarkEnd w:id="45"/>
    </w:p>
    <w:p w:rsidR="00CF6076" w:rsidRDefault="00CF6076" w:rsidP="00982F4E">
      <w:pPr>
        <w:spacing w:line="360" w:lineRule="auto"/>
      </w:pPr>
      <w:r w:rsidRPr="00F8752C">
        <w:t>Pos</w:t>
      </w:r>
      <w:r>
        <w:t xml:space="preserve">lední oblastí, jíž se zabývaly konzultace i tato studie, je kybernetická bezpečnost. Tato velmi široká oblast problémů sahá od zabezpečení internetových sítí, boji proti šíření škodlivého softwaru až po obavy o ochranu uživatelských dat a jejich ukládání. V rámci konzultací tato oblast dostala pouze nízkou prioritu, nicméně z pohledu legislativy a orgánů veřejné správy (na národní i mezinárodní úrovni) jde o téma velmi akcentované – a velmi často rovněž nepříliš vhodně uchopené. Je zřejmé, že je kybernetická bezpečnost na všech úrovních velmi důležitá. Proto je třeba, aby v rámci internetové ekonomiky existovaly bezpečnostní standardy a tyto standardy byly plněny – na druhou stranu velmi intenzivní regulace v zájmu kybernetické bezpečnosti může vést k překážkám rozvoje internetové ekonomiky – což je potřeba vždy případ od případu pečlivě vyhodnotit. Podobná rovnováha platí i v případě ochrany spotřebitele, kdy na jedné straně stojí zájem uživatelů internetu na vlastním soukromí, na druhé pak opět zájem na rozvoji internetové ekonomiky. </w:t>
      </w:r>
    </w:p>
    <w:p w:rsidR="00080D64" w:rsidRPr="00080D64" w:rsidRDefault="00080D64" w:rsidP="00982F4E">
      <w:pPr>
        <w:spacing w:line="360" w:lineRule="auto"/>
        <w:rPr>
          <w:i/>
        </w:rPr>
      </w:pPr>
      <w:r w:rsidRPr="00080D64">
        <w:rPr>
          <w:i/>
        </w:rPr>
        <w:t>„O kybernetické bezpečnosti se ve veřejných institucích často mluví, nicméně bez velké znalosti věci.“</w:t>
      </w:r>
      <w:r w:rsidRPr="00080D64">
        <w:rPr>
          <w:rStyle w:val="Znakapoznpodarou"/>
          <w:i/>
        </w:rPr>
        <w:footnoteReference w:id="72"/>
      </w:r>
    </w:p>
    <w:p w:rsidR="00CF6076" w:rsidRPr="003A0175" w:rsidRDefault="00CF6076" w:rsidP="00982F4E">
      <w:pPr>
        <w:spacing w:line="360" w:lineRule="auto"/>
        <w:rPr>
          <w:b/>
        </w:rPr>
      </w:pPr>
      <w:r>
        <w:rPr>
          <w:b/>
        </w:rPr>
        <w:t>Doporučení</w:t>
      </w:r>
      <w:bookmarkStart w:id="46" w:name="_GoBack"/>
      <w:bookmarkEnd w:id="46"/>
    </w:p>
    <w:p w:rsidR="00CF6076" w:rsidRDefault="00CF6076" w:rsidP="00982F4E">
      <w:pPr>
        <w:spacing w:line="360" w:lineRule="auto"/>
      </w:pPr>
      <w:r>
        <w:t>V rámci této oblasti se doporučuje (nad rámec již diskutovaného vzdělávání úředníků rozhodujících o legislativě) možnost prosazování zavedení Technology Impact Assessment – jako součásti hodnocení dopadů regulace (RIA) zpracovávaného k připravované legislativě i k nelegislativním materiálům vlády. V rámci tohoto procesu by u relevantních zákonů a jiných právních předpisů mohly být hodnoceny specifické náklady a přínosy těchto materiálů pro rozvoj technologií a inovací v ČR – mimo jiné i s ohledem na internetovou ekonomiku.</w:t>
      </w:r>
    </w:p>
    <w:p w:rsidR="001E6EDD" w:rsidRPr="00F8752C" w:rsidRDefault="00CF6076" w:rsidP="00671442">
      <w:pPr>
        <w:spacing w:before="0" w:after="0" w:line="360" w:lineRule="auto"/>
        <w:jc w:val="left"/>
      </w:pPr>
      <w:r>
        <w:br w:type="page"/>
      </w:r>
    </w:p>
    <w:p w:rsidR="00992905" w:rsidRDefault="00992905" w:rsidP="00FC4A9D">
      <w:pPr>
        <w:pStyle w:val="Nadpis1"/>
        <w:spacing w:line="276" w:lineRule="auto"/>
      </w:pPr>
      <w:bookmarkStart w:id="47" w:name="_Toc368040314"/>
      <w:r>
        <w:lastRenderedPageBreak/>
        <w:t>Příloha: Datová část mezinárodního srovnání a souhrnu trendů v české internetové ekonomice</w:t>
      </w:r>
      <w:bookmarkEnd w:id="47"/>
    </w:p>
    <w:p w:rsidR="00087681" w:rsidRDefault="00087681" w:rsidP="00087681">
      <w:pPr>
        <w:pStyle w:val="Nadpis2"/>
      </w:pPr>
      <w:bookmarkStart w:id="48" w:name="_Toc368040315"/>
      <w:r>
        <w:t>Podniky</w:t>
      </w:r>
      <w:bookmarkEnd w:id="48"/>
    </w:p>
    <w:p w:rsidR="00087681" w:rsidRDefault="00087681" w:rsidP="00087681">
      <w:pPr>
        <w:pStyle w:val="Titulek"/>
        <w:keepNext/>
        <w:spacing w:line="276" w:lineRule="auto"/>
      </w:pPr>
    </w:p>
    <w:p w:rsidR="00087681" w:rsidRDefault="00087681" w:rsidP="00087681">
      <w:pPr>
        <w:pStyle w:val="Titulek"/>
        <w:keepNext/>
        <w:spacing w:line="276" w:lineRule="auto"/>
      </w:pPr>
      <w:r>
        <w:t xml:space="preserve">Graf </w:t>
      </w:r>
      <w:fldSimple w:instr=" SEQ Graf \* ARABIC ">
        <w:r w:rsidR="00A828CC">
          <w:rPr>
            <w:noProof/>
          </w:rPr>
          <w:t>19</w:t>
        </w:r>
      </w:fldSimple>
      <w:r>
        <w:t xml:space="preserve">: </w:t>
      </w:r>
      <w:r w:rsidRPr="006B6ADA">
        <w:t>Podniky používající Customer Relationship Management pro analýzu informací o zákaznících pro účely marketingu 2012</w:t>
      </w:r>
    </w:p>
    <w:p w:rsidR="00087681" w:rsidRDefault="00087681" w:rsidP="00087681">
      <w:pPr>
        <w:spacing w:line="276" w:lineRule="auto"/>
        <w:rPr>
          <w:b/>
          <w:sz w:val="28"/>
          <w:szCs w:val="28"/>
        </w:rPr>
      </w:pPr>
      <w:r w:rsidRPr="006B6ADA">
        <w:rPr>
          <w:noProof/>
          <w:szCs w:val="28"/>
          <w:lang w:eastAsia="cs-CZ"/>
        </w:rPr>
        <w:drawing>
          <wp:inline distT="0" distB="0" distL="0" distR="0">
            <wp:extent cx="5760720" cy="3134276"/>
            <wp:effectExtent l="19050" t="0" r="0" b="0"/>
            <wp:docPr id="2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5760720" cy="3134276"/>
                    </a:xfrm>
                    <a:prstGeom prst="rect">
                      <a:avLst/>
                    </a:prstGeom>
                    <a:noFill/>
                    <a:ln w="9525">
                      <a:noFill/>
                      <a:miter lim="800000"/>
                      <a:headEnd/>
                      <a:tailEnd/>
                    </a:ln>
                  </pic:spPr>
                </pic:pic>
              </a:graphicData>
            </a:graphic>
          </wp:inline>
        </w:drawing>
      </w:r>
    </w:p>
    <w:p w:rsidR="00087681" w:rsidRPr="00F6700B" w:rsidRDefault="00087681" w:rsidP="00087681">
      <w:pPr>
        <w:spacing w:line="276" w:lineRule="auto"/>
      </w:pPr>
      <w:r>
        <w:t>Zdroj: EUROSTAT</w:t>
      </w:r>
    </w:p>
    <w:p w:rsidR="00087681" w:rsidRDefault="00087681" w:rsidP="00087681">
      <w:pPr>
        <w:spacing w:line="276" w:lineRule="auto"/>
      </w:pPr>
    </w:p>
    <w:p w:rsidR="00087681" w:rsidRDefault="00087681" w:rsidP="00087681">
      <w:pPr>
        <w:spacing w:line="360" w:lineRule="auto"/>
      </w:pPr>
      <w:r>
        <w:t xml:space="preserve">Výše uvedený graf prezentuje lehce podprůměrnou pozici ČR v porovnání s evropským průměrem v podílu podniků používající Customer Relationship Management o zákaznících pro účely marketingu.  V ČR  17 % podniků používá Customer Relationship Management (CRM) pro analýzu informací o zákaznicích. </w:t>
      </w:r>
      <w:r w:rsidRPr="00F05A17">
        <w:t>CRM je velmi důležitý pro tržby firem. Nedávné studie zobrazené ve Forbes</w:t>
      </w:r>
      <w:r>
        <w:rPr>
          <w:rStyle w:val="Znakapoznpodarou"/>
        </w:rPr>
        <w:footnoteReference w:id="73"/>
      </w:r>
      <w:r w:rsidRPr="00F05A17">
        <w:t xml:space="preserve"> dokazují, že CRM může zvýšit prodej </w:t>
      </w:r>
      <w:r>
        <w:t xml:space="preserve">až </w:t>
      </w:r>
      <w:r w:rsidRPr="00F05A17">
        <w:t>o 29</w:t>
      </w:r>
      <w:r>
        <w:t xml:space="preserve"> </w:t>
      </w:r>
      <w:r w:rsidRPr="00F05A17">
        <w:t xml:space="preserve">% pokud se používá jednoduše a efektivně. </w:t>
      </w:r>
    </w:p>
    <w:p w:rsidR="00087681" w:rsidRDefault="00087681" w:rsidP="00087681">
      <w:pPr>
        <w:pStyle w:val="Titulek"/>
        <w:keepNext/>
        <w:spacing w:line="276" w:lineRule="auto"/>
      </w:pPr>
      <w:r>
        <w:lastRenderedPageBreak/>
        <w:t xml:space="preserve">Graf </w:t>
      </w:r>
      <w:fldSimple w:instr=" SEQ Graf \* ARABIC ">
        <w:r w:rsidR="00A828CC">
          <w:rPr>
            <w:noProof/>
          </w:rPr>
          <w:t>20</w:t>
        </w:r>
      </w:fldSimple>
      <w:r>
        <w:t>:</w:t>
      </w:r>
      <w:r w:rsidRPr="00A764B1">
        <w:t xml:space="preserve"> Podniky s přístupem k internetu 2012  </w:t>
      </w:r>
    </w:p>
    <w:p w:rsidR="00087681" w:rsidRDefault="00087681" w:rsidP="00087681">
      <w:pPr>
        <w:spacing w:line="276" w:lineRule="auto"/>
      </w:pPr>
      <w:r w:rsidRPr="00A764B1">
        <w:rPr>
          <w:noProof/>
          <w:lang w:eastAsia="cs-CZ"/>
        </w:rPr>
        <w:drawing>
          <wp:inline distT="0" distB="0" distL="0" distR="0">
            <wp:extent cx="5760720" cy="2888613"/>
            <wp:effectExtent l="19050" t="0" r="0" b="0"/>
            <wp:docPr id="22"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srcRect/>
                    <a:stretch>
                      <a:fillRect/>
                    </a:stretch>
                  </pic:blipFill>
                  <pic:spPr bwMode="auto">
                    <a:xfrm>
                      <a:off x="0" y="0"/>
                      <a:ext cx="5760720" cy="2888613"/>
                    </a:xfrm>
                    <a:prstGeom prst="rect">
                      <a:avLst/>
                    </a:prstGeom>
                    <a:noFill/>
                    <a:ln w="9525">
                      <a:noFill/>
                      <a:miter lim="800000"/>
                      <a:headEnd/>
                      <a:tailEnd/>
                    </a:ln>
                  </pic:spPr>
                </pic:pic>
              </a:graphicData>
            </a:graphic>
          </wp:inline>
        </w:drawing>
      </w:r>
    </w:p>
    <w:p w:rsidR="00087681" w:rsidRDefault="00087681" w:rsidP="00087681">
      <w:pPr>
        <w:spacing w:line="276" w:lineRule="auto"/>
      </w:pPr>
      <w:r>
        <w:t>Zdroj: EUROSTAT</w:t>
      </w:r>
    </w:p>
    <w:p w:rsidR="00087681" w:rsidRDefault="00087681" w:rsidP="00087681">
      <w:pPr>
        <w:spacing w:line="276" w:lineRule="auto"/>
      </w:pPr>
    </w:p>
    <w:p w:rsidR="00087681" w:rsidRDefault="00087681" w:rsidP="00087681">
      <w:pPr>
        <w:pStyle w:val="Titulek"/>
        <w:keepNext/>
        <w:spacing w:line="276" w:lineRule="auto"/>
      </w:pPr>
      <w:r>
        <w:t xml:space="preserve">Graf </w:t>
      </w:r>
      <w:fldSimple w:instr=" SEQ Graf \* ARABIC ">
        <w:r w:rsidR="00A828CC">
          <w:rPr>
            <w:noProof/>
          </w:rPr>
          <w:t>21</w:t>
        </w:r>
      </w:fldSimple>
      <w:r>
        <w:t>:</w:t>
      </w:r>
      <w:r w:rsidRPr="00A764B1">
        <w:t xml:space="preserve"> Podniky s přístupem k internetu </w:t>
      </w:r>
      <w:r>
        <w:t xml:space="preserve">(2004 – </w:t>
      </w:r>
      <w:r w:rsidRPr="00A764B1">
        <w:t>2012</w:t>
      </w:r>
      <w:r>
        <w:t>)</w:t>
      </w:r>
      <w:r w:rsidRPr="00A764B1">
        <w:t xml:space="preserve">  </w:t>
      </w:r>
    </w:p>
    <w:p w:rsidR="00087681" w:rsidRDefault="00087681" w:rsidP="00087681">
      <w:pPr>
        <w:spacing w:line="276" w:lineRule="auto"/>
      </w:pPr>
      <w:r w:rsidRPr="00A764B1">
        <w:rPr>
          <w:noProof/>
          <w:lang w:eastAsia="cs-CZ"/>
        </w:rPr>
        <w:drawing>
          <wp:inline distT="0" distB="0" distL="0" distR="0">
            <wp:extent cx="5760720" cy="3364745"/>
            <wp:effectExtent l="19050" t="0" r="0" b="0"/>
            <wp:docPr id="23"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5760720" cy="3364745"/>
                    </a:xfrm>
                    <a:prstGeom prst="rect">
                      <a:avLst/>
                    </a:prstGeom>
                    <a:noFill/>
                    <a:ln w="9525">
                      <a:noFill/>
                      <a:miter lim="800000"/>
                      <a:headEnd/>
                      <a:tailEnd/>
                    </a:ln>
                  </pic:spPr>
                </pic:pic>
              </a:graphicData>
            </a:graphic>
          </wp:inline>
        </w:drawing>
      </w:r>
    </w:p>
    <w:p w:rsidR="00087681" w:rsidRDefault="00087681" w:rsidP="00087681">
      <w:pPr>
        <w:spacing w:line="276" w:lineRule="auto"/>
      </w:pPr>
      <w:r>
        <w:t>Zdroj: EUROSTAT</w:t>
      </w:r>
    </w:p>
    <w:p w:rsidR="00087681" w:rsidRDefault="00087681" w:rsidP="00087681">
      <w:pPr>
        <w:spacing w:line="276" w:lineRule="auto"/>
      </w:pPr>
    </w:p>
    <w:p w:rsidR="00087681" w:rsidRDefault="00087681" w:rsidP="004B3D6C">
      <w:pPr>
        <w:spacing w:line="360" w:lineRule="auto"/>
      </w:pPr>
      <w:r>
        <w:t xml:space="preserve">Graf ukazuje, že v roce 2012 </w:t>
      </w:r>
      <w:r w:rsidRPr="004A50C2">
        <w:t>měla</w:t>
      </w:r>
      <w:r>
        <w:t xml:space="preserve"> ČR vyšší poměr podniků s přístupem na internet než EU. Dlouhodobý trend ukazuje, že poměr podniků v ekonomice s přístupem na internet se zvyšuje v ČR i v EU. Dlouhodobě je ovšem procento podniků s přístupem k internetu v ČR vyšší než je </w:t>
      </w:r>
      <w:r>
        <w:lastRenderedPageBreak/>
        <w:t xml:space="preserve">evropský průměr. Podíl podniků v ČR se od roku 2004 do roku 2012 v ČR i EU  zvýšil o 7 p.b. Podle průzkumu BCG internet zvyšuje produktivitu podniků. Firmy jsou tak schopné snížit transakční náklady, zjednodušit komunikaci a šetřit čas. Podle studie OECD internet umožňuje vznik nových obchodních modelů, nové postupy, nové vynálezy, nové a lepší zboží a služeb a zvyšuje konkurenceschopnost a flexibilitu v hospodářství. Další výhody jsou posílení a šíření informací při nižších nákladech a zlepšením přístupu na trh.  Kromě toho internet poskytuje zvětšení trhů, obecné urychlení postupů a procesů a zvýšení dynamiky ekonomiky. Pro podniky internet také znamená zefektivnění podnikových procesů a zjednodušení toků informací. </w:t>
      </w:r>
    </w:p>
    <w:p w:rsidR="00087681" w:rsidRDefault="00087681" w:rsidP="00087681">
      <w:pPr>
        <w:spacing w:line="276" w:lineRule="auto"/>
      </w:pPr>
    </w:p>
    <w:p w:rsidR="00087681" w:rsidRDefault="00087681" w:rsidP="00087681">
      <w:pPr>
        <w:pStyle w:val="Titulek"/>
        <w:keepNext/>
        <w:spacing w:line="276" w:lineRule="auto"/>
      </w:pPr>
      <w:r>
        <w:t xml:space="preserve">Graf </w:t>
      </w:r>
      <w:fldSimple w:instr=" SEQ Graf \* ARABIC ">
        <w:r w:rsidR="00A828CC">
          <w:rPr>
            <w:noProof/>
          </w:rPr>
          <w:t>22</w:t>
        </w:r>
      </w:fldSimple>
      <w:r>
        <w:t>:</w:t>
      </w:r>
      <w:r w:rsidRPr="00D234B8">
        <w:t xml:space="preserve"> Podniky nakupující on-line (alespoň 1% objednávek) 2012</w:t>
      </w:r>
    </w:p>
    <w:p w:rsidR="00087681" w:rsidRDefault="00087681" w:rsidP="00087681">
      <w:pPr>
        <w:spacing w:line="276" w:lineRule="auto"/>
      </w:pPr>
      <w:r w:rsidRPr="00D234B8">
        <w:rPr>
          <w:noProof/>
          <w:lang w:eastAsia="cs-CZ"/>
        </w:rPr>
        <w:drawing>
          <wp:inline distT="0" distB="0" distL="0" distR="0">
            <wp:extent cx="5314950" cy="3257550"/>
            <wp:effectExtent l="19050" t="0" r="0" b="0"/>
            <wp:docPr id="24"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srcRect/>
                    <a:stretch>
                      <a:fillRect/>
                    </a:stretch>
                  </pic:blipFill>
                  <pic:spPr bwMode="auto">
                    <a:xfrm>
                      <a:off x="0" y="0"/>
                      <a:ext cx="5314950" cy="3257550"/>
                    </a:xfrm>
                    <a:prstGeom prst="rect">
                      <a:avLst/>
                    </a:prstGeom>
                    <a:noFill/>
                    <a:ln w="9525">
                      <a:noFill/>
                      <a:miter lim="800000"/>
                      <a:headEnd/>
                      <a:tailEnd/>
                    </a:ln>
                  </pic:spPr>
                </pic:pic>
              </a:graphicData>
            </a:graphic>
          </wp:inline>
        </w:drawing>
      </w:r>
    </w:p>
    <w:p w:rsidR="00087681" w:rsidRDefault="00087681" w:rsidP="00087681">
      <w:pPr>
        <w:spacing w:line="276" w:lineRule="auto"/>
      </w:pPr>
      <w:r>
        <w:t>Zdroj: EUROSTAT</w:t>
      </w:r>
    </w:p>
    <w:p w:rsidR="00087681" w:rsidRDefault="00087681" w:rsidP="00087681">
      <w:pPr>
        <w:spacing w:line="276" w:lineRule="auto"/>
      </w:pPr>
    </w:p>
    <w:p w:rsidR="00087681" w:rsidRDefault="00087681" w:rsidP="00087681">
      <w:pPr>
        <w:pStyle w:val="Titulek"/>
        <w:keepNext/>
        <w:spacing w:line="276" w:lineRule="auto"/>
      </w:pPr>
      <w:r>
        <w:lastRenderedPageBreak/>
        <w:t xml:space="preserve">Graf </w:t>
      </w:r>
      <w:fldSimple w:instr=" SEQ Graf \* ARABIC ">
        <w:r w:rsidR="00A828CC">
          <w:rPr>
            <w:noProof/>
          </w:rPr>
          <w:t>23</w:t>
        </w:r>
      </w:fldSimple>
      <w:r>
        <w:t>:</w:t>
      </w:r>
      <w:r w:rsidRPr="00D234B8">
        <w:t xml:space="preserve"> Podniky nakupující on-line (alespoň 1% objednávek) </w:t>
      </w:r>
      <w:r>
        <w:t xml:space="preserve">2004 - </w:t>
      </w:r>
      <w:r w:rsidRPr="00D234B8">
        <w:t>2012</w:t>
      </w:r>
    </w:p>
    <w:p w:rsidR="00087681" w:rsidRDefault="00087681" w:rsidP="00087681">
      <w:pPr>
        <w:spacing w:line="276" w:lineRule="auto"/>
      </w:pPr>
      <w:r w:rsidRPr="00D234B8">
        <w:rPr>
          <w:noProof/>
          <w:lang w:eastAsia="cs-CZ"/>
        </w:rPr>
        <w:drawing>
          <wp:inline distT="0" distB="0" distL="0" distR="0">
            <wp:extent cx="5760720" cy="3209911"/>
            <wp:effectExtent l="19050" t="0" r="0" b="0"/>
            <wp:docPr id="25"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srcRect/>
                    <a:stretch>
                      <a:fillRect/>
                    </a:stretch>
                  </pic:blipFill>
                  <pic:spPr bwMode="auto">
                    <a:xfrm>
                      <a:off x="0" y="0"/>
                      <a:ext cx="5760720" cy="3209911"/>
                    </a:xfrm>
                    <a:prstGeom prst="rect">
                      <a:avLst/>
                    </a:prstGeom>
                    <a:noFill/>
                    <a:ln w="9525">
                      <a:noFill/>
                      <a:miter lim="800000"/>
                      <a:headEnd/>
                      <a:tailEnd/>
                    </a:ln>
                  </pic:spPr>
                </pic:pic>
              </a:graphicData>
            </a:graphic>
          </wp:inline>
        </w:drawing>
      </w:r>
    </w:p>
    <w:p w:rsidR="00087681" w:rsidRDefault="00087681" w:rsidP="00087681">
      <w:pPr>
        <w:spacing w:line="276" w:lineRule="auto"/>
      </w:pPr>
      <w:r>
        <w:t>Zdroj: EUROSTAT</w:t>
      </w:r>
    </w:p>
    <w:p w:rsidR="004B3D6C" w:rsidRDefault="004B3D6C" w:rsidP="00087681">
      <w:pPr>
        <w:spacing w:line="360" w:lineRule="auto"/>
      </w:pPr>
    </w:p>
    <w:p w:rsidR="00087681" w:rsidRDefault="00087681" w:rsidP="00087681">
      <w:pPr>
        <w:spacing w:line="360" w:lineRule="auto"/>
      </w:pPr>
      <w:r>
        <w:t>Graf ukazuje, že v roce</w:t>
      </w:r>
      <w:r w:rsidRPr="00E43BBD">
        <w:t xml:space="preserve"> 2012 m</w:t>
      </w:r>
      <w:r>
        <w:t>ěla</w:t>
      </w:r>
      <w:r w:rsidRPr="00E43BBD">
        <w:t xml:space="preserve"> ČR o 2</w:t>
      </w:r>
      <w:r>
        <w:t>4 p.b.</w:t>
      </w:r>
      <w:r w:rsidRPr="00E43BBD">
        <w:t xml:space="preserve"> v</w:t>
      </w:r>
      <w:r>
        <w:t>yšší poměr</w:t>
      </w:r>
      <w:r w:rsidRPr="00E43BBD">
        <w:t xml:space="preserve"> podniků</w:t>
      </w:r>
      <w:r>
        <w:t xml:space="preserve"> nakupujících online (alespoň 1% objednávek)</w:t>
      </w:r>
      <w:r w:rsidRPr="00E43BBD">
        <w:t xml:space="preserve"> </w:t>
      </w:r>
      <w:r>
        <w:t xml:space="preserve">oproti </w:t>
      </w:r>
      <w:r w:rsidRPr="00E43BBD">
        <w:t xml:space="preserve">EU. </w:t>
      </w:r>
      <w:r>
        <w:t>Dlouhodobý trend od roku 2004</w:t>
      </w:r>
      <w:r w:rsidRPr="00E43BBD">
        <w:t xml:space="preserve"> ukazuje neustál</w:t>
      </w:r>
      <w:r>
        <w:t>é</w:t>
      </w:r>
      <w:r w:rsidRPr="00E43BBD">
        <w:t xml:space="preserve"> nav</w:t>
      </w:r>
      <w:r>
        <w:t>yšování procenta podniků nakupujících online</w:t>
      </w:r>
      <w:r w:rsidRPr="00E43BBD">
        <w:t>.</w:t>
      </w:r>
      <w:r>
        <w:t xml:space="preserve"> Oproti tomu EU zaznamenala od roku 2008 pokles procenta podniků nakupujících online. Důvodem tohoto poklesu spatřujeme v propuknutí finanční krize ale především začlenění Bulharska a Rumunska do samplu. ČR tak vykazuje výrazně vyšší poměr podniků nakupujících online než je průměr EU. </w:t>
      </w:r>
      <w:r w:rsidRPr="00DB794A">
        <w:t xml:space="preserve">Procento </w:t>
      </w:r>
      <w:r>
        <w:t xml:space="preserve">podniků nakupujících on-line (alespoň 1 % objednávek) se od roku 2004 do roku 2012 v ČR zvýšilo o 21 p.b.  V EU se procento podniků nakupujících on-line (alespoň 1% objednávek) od roku 2004 do roku 2012 snížilo dle dat Eurostatu o 9 p.b. Relevanci srovnání této veličiny snižuje skutečnost, že statistiky Eurostatu jsou neúplné, neboť velká část zemí EU nedodala data, což jistě ovlivnilo i odhad sledovaného ukazatele pro EU. </w:t>
      </w:r>
    </w:p>
    <w:p w:rsidR="00087681" w:rsidRDefault="00087681" w:rsidP="00087681">
      <w:pPr>
        <w:spacing w:line="360" w:lineRule="auto"/>
      </w:pPr>
      <w:r>
        <w:t>Podniky i jednotlivci nakupující online mají větší</w:t>
      </w:r>
      <w:r w:rsidRPr="00CE0C03">
        <w:t xml:space="preserve"> výběr</w:t>
      </w:r>
      <w:r>
        <w:t>, což může mít positivní efekt na snížení ceny nakupovaného zboží/služby</w:t>
      </w:r>
      <w:r w:rsidRPr="00CE0C03">
        <w:t>. Firmy jsou schopni najít to, co potřebuj</w:t>
      </w:r>
      <w:r>
        <w:t>í</w:t>
      </w:r>
      <w:r w:rsidRPr="00CE0C03">
        <w:t xml:space="preserve"> za nejlepš</w:t>
      </w:r>
      <w:r>
        <w:t>í cenu a být současně časově účinný</w:t>
      </w:r>
      <w:r w:rsidRPr="00CE0C03">
        <w:t>. To zvyšuje konkuren</w:t>
      </w:r>
      <w:r>
        <w:t>ceschopnost firmy a umožňuje podnikům</w:t>
      </w:r>
      <w:r w:rsidRPr="00CE0C03">
        <w:t xml:space="preserve"> pracovat efektivněji.</w:t>
      </w:r>
    </w:p>
    <w:p w:rsidR="00087681" w:rsidRDefault="00087681" w:rsidP="00087681">
      <w:pPr>
        <w:pStyle w:val="Titulek"/>
        <w:keepNext/>
        <w:spacing w:line="276" w:lineRule="auto"/>
      </w:pPr>
      <w:r>
        <w:lastRenderedPageBreak/>
        <w:t xml:space="preserve">Graf </w:t>
      </w:r>
      <w:fldSimple w:instr=" SEQ Graf \* ARABIC ">
        <w:r w:rsidR="00A828CC">
          <w:rPr>
            <w:noProof/>
          </w:rPr>
          <w:t>24</w:t>
        </w:r>
      </w:fldSimple>
      <w:r>
        <w:t>:</w:t>
      </w:r>
      <w:r w:rsidRPr="00D234B8">
        <w:t xml:space="preserve"> Podniky prodávající on-line (alespoň 1% objednávek) 2012</w:t>
      </w:r>
    </w:p>
    <w:p w:rsidR="00087681" w:rsidRDefault="00087681" w:rsidP="00087681">
      <w:pPr>
        <w:spacing w:line="276" w:lineRule="auto"/>
      </w:pPr>
      <w:r w:rsidRPr="00D234B8">
        <w:rPr>
          <w:noProof/>
          <w:lang w:eastAsia="cs-CZ"/>
        </w:rPr>
        <w:drawing>
          <wp:inline distT="0" distB="0" distL="0" distR="0">
            <wp:extent cx="5760720" cy="3419323"/>
            <wp:effectExtent l="19050" t="0" r="0" b="0"/>
            <wp:docPr id="26"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srcRect/>
                    <a:stretch>
                      <a:fillRect/>
                    </a:stretch>
                  </pic:blipFill>
                  <pic:spPr bwMode="auto">
                    <a:xfrm>
                      <a:off x="0" y="0"/>
                      <a:ext cx="5760720" cy="3419323"/>
                    </a:xfrm>
                    <a:prstGeom prst="rect">
                      <a:avLst/>
                    </a:prstGeom>
                    <a:noFill/>
                    <a:ln w="9525">
                      <a:noFill/>
                      <a:miter lim="800000"/>
                      <a:headEnd/>
                      <a:tailEnd/>
                    </a:ln>
                  </pic:spPr>
                </pic:pic>
              </a:graphicData>
            </a:graphic>
          </wp:inline>
        </w:drawing>
      </w:r>
    </w:p>
    <w:p w:rsidR="00087681" w:rsidRDefault="00087681" w:rsidP="00087681">
      <w:pPr>
        <w:spacing w:line="276" w:lineRule="auto"/>
      </w:pPr>
      <w:r>
        <w:t>Zdroj: EUROSTAT</w:t>
      </w:r>
    </w:p>
    <w:p w:rsidR="00087681" w:rsidRDefault="00087681" w:rsidP="00087681">
      <w:pPr>
        <w:spacing w:line="276" w:lineRule="auto"/>
      </w:pPr>
    </w:p>
    <w:p w:rsidR="00087681" w:rsidRDefault="00087681" w:rsidP="00087681">
      <w:pPr>
        <w:pStyle w:val="Titulek"/>
        <w:keepNext/>
        <w:spacing w:line="276" w:lineRule="auto"/>
      </w:pPr>
      <w:r>
        <w:t xml:space="preserve">Graf </w:t>
      </w:r>
      <w:fldSimple w:instr=" SEQ Graf \* ARABIC ">
        <w:r w:rsidR="00A828CC">
          <w:rPr>
            <w:noProof/>
          </w:rPr>
          <w:t>25</w:t>
        </w:r>
      </w:fldSimple>
      <w:r>
        <w:t>:</w:t>
      </w:r>
      <w:r w:rsidRPr="00D234B8">
        <w:t xml:space="preserve"> Podniky prodávající on-line (alespoň 1% objednávek) </w:t>
      </w:r>
      <w:r>
        <w:t xml:space="preserve">2004 - </w:t>
      </w:r>
      <w:r w:rsidRPr="00D234B8">
        <w:t>2012</w:t>
      </w:r>
    </w:p>
    <w:p w:rsidR="00087681" w:rsidRDefault="00087681" w:rsidP="00087681">
      <w:pPr>
        <w:spacing w:line="276" w:lineRule="auto"/>
      </w:pPr>
      <w:r w:rsidRPr="00D234B8">
        <w:rPr>
          <w:noProof/>
          <w:lang w:eastAsia="cs-CZ"/>
        </w:rPr>
        <w:drawing>
          <wp:inline distT="0" distB="0" distL="0" distR="0">
            <wp:extent cx="5760720" cy="3131017"/>
            <wp:effectExtent l="19050" t="0" r="0" b="0"/>
            <wp:docPr id="27"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srcRect/>
                    <a:stretch>
                      <a:fillRect/>
                    </a:stretch>
                  </pic:blipFill>
                  <pic:spPr bwMode="auto">
                    <a:xfrm>
                      <a:off x="0" y="0"/>
                      <a:ext cx="5760720" cy="3131017"/>
                    </a:xfrm>
                    <a:prstGeom prst="rect">
                      <a:avLst/>
                    </a:prstGeom>
                    <a:noFill/>
                    <a:ln w="9525">
                      <a:noFill/>
                      <a:miter lim="800000"/>
                      <a:headEnd/>
                      <a:tailEnd/>
                    </a:ln>
                  </pic:spPr>
                </pic:pic>
              </a:graphicData>
            </a:graphic>
          </wp:inline>
        </w:drawing>
      </w:r>
    </w:p>
    <w:p w:rsidR="00087681" w:rsidRDefault="00087681" w:rsidP="00087681">
      <w:pPr>
        <w:spacing w:line="276" w:lineRule="auto"/>
      </w:pPr>
      <w:r>
        <w:t>Zdroj: EUROSTAT</w:t>
      </w:r>
    </w:p>
    <w:p w:rsidR="004B3D6C" w:rsidRDefault="004B3D6C" w:rsidP="00087681">
      <w:pPr>
        <w:spacing w:line="360" w:lineRule="auto"/>
      </w:pPr>
    </w:p>
    <w:p w:rsidR="00087681" w:rsidRDefault="004B3D6C" w:rsidP="00087681">
      <w:pPr>
        <w:spacing w:line="360" w:lineRule="auto"/>
      </w:pPr>
      <w:r>
        <w:t xml:space="preserve">V </w:t>
      </w:r>
      <w:r w:rsidR="00087681">
        <w:t xml:space="preserve">roce 2012 měla ČR o </w:t>
      </w:r>
      <w:r w:rsidR="00F37A9A">
        <w:t>11 p.b. vyšší</w:t>
      </w:r>
      <w:r w:rsidR="00087681">
        <w:t xml:space="preserve"> poměr podniků prodávajíc</w:t>
      </w:r>
      <w:r w:rsidR="00087681" w:rsidRPr="00770E8B">
        <w:t>í</w:t>
      </w:r>
      <w:r w:rsidR="00087681">
        <w:t>ch</w:t>
      </w:r>
      <w:r w:rsidR="00087681" w:rsidRPr="00770E8B">
        <w:t xml:space="preserve"> online (alespoň 1</w:t>
      </w:r>
      <w:r w:rsidR="00087681">
        <w:t xml:space="preserve"> </w:t>
      </w:r>
      <w:r w:rsidR="00087681" w:rsidRPr="00770E8B">
        <w:t xml:space="preserve">% objednávek) oproti EU. Dlouhodobý trend od roku 2004 ukazuje </w:t>
      </w:r>
      <w:r w:rsidR="00087681">
        <w:t xml:space="preserve">na </w:t>
      </w:r>
      <w:r w:rsidR="00087681" w:rsidRPr="00770E8B">
        <w:t>rostoucí</w:t>
      </w:r>
      <w:r w:rsidR="00087681">
        <w:t xml:space="preserve"> procento </w:t>
      </w:r>
      <w:r w:rsidR="00087681" w:rsidRPr="00770E8B">
        <w:t xml:space="preserve">podniků </w:t>
      </w:r>
      <w:r w:rsidR="00087681" w:rsidRPr="00770E8B">
        <w:lastRenderedPageBreak/>
        <w:t>nakupující</w:t>
      </w:r>
      <w:r w:rsidR="00087681">
        <w:t xml:space="preserve">ch </w:t>
      </w:r>
      <w:r w:rsidR="00087681" w:rsidRPr="00770E8B">
        <w:t>online</w:t>
      </w:r>
      <w:r w:rsidR="00087681">
        <w:t xml:space="preserve"> (kromě poklesu v roce 2006)</w:t>
      </w:r>
      <w:r w:rsidR="00087681" w:rsidRPr="00770E8B">
        <w:t xml:space="preserve">. </w:t>
      </w:r>
      <w:r w:rsidR="00087681">
        <w:t xml:space="preserve">Naproti tomu se v EU procento podniků prodávajících online od roku 2004 příliš nezměnilo. Důvod pro pokles ve statistikách EU je zde stejný jako v případě podílu firem nakupujících on-line a to nástup finanční krize ale zejména zahrnutí Bulharska a Rumunska do statistik či jejich neúplnost. </w:t>
      </w:r>
      <w:r w:rsidR="00087681" w:rsidRPr="00DB794A">
        <w:t xml:space="preserve">Procento </w:t>
      </w:r>
      <w:r w:rsidR="00087681">
        <w:t xml:space="preserve">podniků prodávajících on-line (alespoň 1 % objednávek) se v ČR od roku 2004 do roku 2012 zvýšilo o 14 p.b.  V EU se toto procento zvýšilo o pouhý 1 p.b., tudíž méně než v ČR. </w:t>
      </w:r>
    </w:p>
    <w:p w:rsidR="00087681" w:rsidRDefault="00087681" w:rsidP="00087681">
      <w:pPr>
        <w:spacing w:line="276" w:lineRule="auto"/>
      </w:pPr>
    </w:p>
    <w:p w:rsidR="00087681" w:rsidRDefault="00087681" w:rsidP="00087681">
      <w:pPr>
        <w:pStyle w:val="Titulek"/>
        <w:keepNext/>
        <w:spacing w:line="276" w:lineRule="auto"/>
      </w:pPr>
      <w:r>
        <w:t xml:space="preserve">Graf </w:t>
      </w:r>
      <w:fldSimple w:instr=" SEQ Graf \* ARABIC ">
        <w:r w:rsidR="00A828CC">
          <w:rPr>
            <w:noProof/>
          </w:rPr>
          <w:t>26</w:t>
        </w:r>
      </w:fldSimple>
      <w:r>
        <w:t>:</w:t>
      </w:r>
      <w:r w:rsidRPr="00D234B8">
        <w:t xml:space="preserve"> Podniky, které zaměstnávají ICT/IT specialisty 2012</w:t>
      </w:r>
    </w:p>
    <w:p w:rsidR="00087681" w:rsidRDefault="00087681" w:rsidP="00087681">
      <w:pPr>
        <w:spacing w:line="276" w:lineRule="auto"/>
      </w:pPr>
      <w:r w:rsidRPr="00D234B8">
        <w:rPr>
          <w:noProof/>
          <w:lang w:eastAsia="cs-CZ"/>
        </w:rPr>
        <w:drawing>
          <wp:inline distT="0" distB="0" distL="0" distR="0">
            <wp:extent cx="5760720" cy="3461522"/>
            <wp:effectExtent l="19050" t="0" r="0" b="0"/>
            <wp:docPr id="28"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srcRect/>
                    <a:stretch>
                      <a:fillRect/>
                    </a:stretch>
                  </pic:blipFill>
                  <pic:spPr bwMode="auto">
                    <a:xfrm>
                      <a:off x="0" y="0"/>
                      <a:ext cx="5760720" cy="3461522"/>
                    </a:xfrm>
                    <a:prstGeom prst="rect">
                      <a:avLst/>
                    </a:prstGeom>
                    <a:noFill/>
                    <a:ln w="9525">
                      <a:noFill/>
                      <a:miter lim="800000"/>
                      <a:headEnd/>
                      <a:tailEnd/>
                    </a:ln>
                  </pic:spPr>
                </pic:pic>
              </a:graphicData>
            </a:graphic>
          </wp:inline>
        </w:drawing>
      </w:r>
    </w:p>
    <w:p w:rsidR="00087681" w:rsidRDefault="00087681" w:rsidP="00087681">
      <w:pPr>
        <w:spacing w:line="276" w:lineRule="auto"/>
      </w:pPr>
      <w:r>
        <w:t>Zdroj: EUROSTAT</w:t>
      </w:r>
    </w:p>
    <w:p w:rsidR="00087681" w:rsidRDefault="00087681" w:rsidP="00087681">
      <w:pPr>
        <w:spacing w:line="276" w:lineRule="auto"/>
      </w:pPr>
    </w:p>
    <w:p w:rsidR="00087681" w:rsidRDefault="00087681" w:rsidP="00087681">
      <w:pPr>
        <w:pStyle w:val="Titulek"/>
        <w:keepNext/>
        <w:spacing w:line="276" w:lineRule="auto"/>
      </w:pPr>
      <w:r>
        <w:lastRenderedPageBreak/>
        <w:t xml:space="preserve">Graf </w:t>
      </w:r>
      <w:fldSimple w:instr=" SEQ Graf \* ARABIC ">
        <w:r w:rsidR="00A828CC">
          <w:rPr>
            <w:noProof/>
          </w:rPr>
          <w:t>27</w:t>
        </w:r>
      </w:fldSimple>
      <w:r>
        <w:t>:</w:t>
      </w:r>
      <w:r w:rsidRPr="00D234B8">
        <w:t xml:space="preserve"> Podniky poskytující svým zaměstnancům školení ICT dovedností 2012</w:t>
      </w:r>
    </w:p>
    <w:p w:rsidR="00087681" w:rsidRDefault="00087681" w:rsidP="00087681">
      <w:pPr>
        <w:spacing w:line="276" w:lineRule="auto"/>
        <w:rPr>
          <w:b/>
          <w:sz w:val="28"/>
          <w:szCs w:val="28"/>
        </w:rPr>
      </w:pPr>
      <w:r w:rsidRPr="00D234B8">
        <w:rPr>
          <w:noProof/>
          <w:szCs w:val="28"/>
          <w:lang w:eastAsia="cs-CZ"/>
        </w:rPr>
        <w:drawing>
          <wp:inline distT="0" distB="0" distL="0" distR="0">
            <wp:extent cx="5760720" cy="3483226"/>
            <wp:effectExtent l="19050" t="0" r="0" b="0"/>
            <wp:docPr id="29"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srcRect/>
                    <a:stretch>
                      <a:fillRect/>
                    </a:stretch>
                  </pic:blipFill>
                  <pic:spPr bwMode="auto">
                    <a:xfrm>
                      <a:off x="0" y="0"/>
                      <a:ext cx="5760720" cy="3483226"/>
                    </a:xfrm>
                    <a:prstGeom prst="rect">
                      <a:avLst/>
                    </a:prstGeom>
                    <a:noFill/>
                    <a:ln w="9525">
                      <a:noFill/>
                      <a:miter lim="800000"/>
                      <a:headEnd/>
                      <a:tailEnd/>
                    </a:ln>
                  </pic:spPr>
                </pic:pic>
              </a:graphicData>
            </a:graphic>
          </wp:inline>
        </w:drawing>
      </w:r>
    </w:p>
    <w:p w:rsidR="00087681" w:rsidRPr="00C36B15" w:rsidRDefault="00087681" w:rsidP="00087681">
      <w:pPr>
        <w:spacing w:line="276" w:lineRule="auto"/>
      </w:pPr>
      <w:r>
        <w:t>Zdroj: EUROSTAT</w:t>
      </w:r>
    </w:p>
    <w:p w:rsidR="00087681" w:rsidRDefault="00087681" w:rsidP="00087681">
      <w:pPr>
        <w:spacing w:line="276" w:lineRule="auto"/>
      </w:pPr>
    </w:p>
    <w:p w:rsidR="00087681" w:rsidRDefault="00087681" w:rsidP="00087681">
      <w:pPr>
        <w:spacing w:line="360" w:lineRule="auto"/>
      </w:pPr>
      <w:r>
        <w:t xml:space="preserve">V roce 2012 měla ČR o 8 p.b.  vyšší poměr podniků, které zaměstnávají ICT/IT specialisty </w:t>
      </w:r>
      <w:r w:rsidRPr="00770E8B">
        <w:t xml:space="preserve">online oproti EU. </w:t>
      </w:r>
      <w:r>
        <w:t xml:space="preserve">ČR měla v roce 2012 také o 3 p.b. vyšší poměr podniků poskytující svým zaměstnancům školení ICT dovedností než EU, která měla pouhých 19 %. </w:t>
      </w:r>
    </w:p>
    <w:p w:rsidR="00087681" w:rsidRDefault="00087681" w:rsidP="00087681">
      <w:pPr>
        <w:spacing w:line="276" w:lineRule="auto"/>
      </w:pPr>
    </w:p>
    <w:p w:rsidR="00087681" w:rsidRDefault="00087681" w:rsidP="00087681">
      <w:pPr>
        <w:pStyle w:val="Titulek"/>
        <w:keepNext/>
        <w:spacing w:line="276" w:lineRule="auto"/>
      </w:pPr>
      <w:r>
        <w:lastRenderedPageBreak/>
        <w:t xml:space="preserve">Graf </w:t>
      </w:r>
      <w:fldSimple w:instr=" SEQ Graf \* ARABIC ">
        <w:r w:rsidR="00A828CC">
          <w:rPr>
            <w:noProof/>
          </w:rPr>
          <w:t>28</w:t>
        </w:r>
      </w:fldSimple>
      <w:r>
        <w:t>:</w:t>
      </w:r>
      <w:r w:rsidRPr="00054D40">
        <w:t xml:space="preserve"> Celkový obrat podniků z e-commerce 2012</w:t>
      </w:r>
    </w:p>
    <w:p w:rsidR="00087681" w:rsidRDefault="00087681" w:rsidP="00087681">
      <w:pPr>
        <w:spacing w:line="276" w:lineRule="auto"/>
      </w:pPr>
      <w:r w:rsidRPr="00054D40">
        <w:rPr>
          <w:noProof/>
          <w:lang w:eastAsia="cs-CZ"/>
        </w:rPr>
        <w:drawing>
          <wp:inline distT="0" distB="0" distL="0" distR="0">
            <wp:extent cx="5760720" cy="3430119"/>
            <wp:effectExtent l="19050" t="0" r="0" b="0"/>
            <wp:docPr id="30"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srcRect/>
                    <a:stretch>
                      <a:fillRect/>
                    </a:stretch>
                  </pic:blipFill>
                  <pic:spPr bwMode="auto">
                    <a:xfrm>
                      <a:off x="0" y="0"/>
                      <a:ext cx="5760720" cy="3430119"/>
                    </a:xfrm>
                    <a:prstGeom prst="rect">
                      <a:avLst/>
                    </a:prstGeom>
                    <a:noFill/>
                    <a:ln w="9525">
                      <a:noFill/>
                      <a:miter lim="800000"/>
                      <a:headEnd/>
                      <a:tailEnd/>
                    </a:ln>
                  </pic:spPr>
                </pic:pic>
              </a:graphicData>
            </a:graphic>
          </wp:inline>
        </w:drawing>
      </w:r>
    </w:p>
    <w:p w:rsidR="00087681" w:rsidRDefault="00087681" w:rsidP="00087681">
      <w:pPr>
        <w:spacing w:line="276" w:lineRule="auto"/>
      </w:pPr>
      <w:r>
        <w:t>Zdroj: EUROSTAT</w:t>
      </w:r>
    </w:p>
    <w:p w:rsidR="00087681" w:rsidRDefault="00087681" w:rsidP="00087681">
      <w:pPr>
        <w:pStyle w:val="Titulek"/>
        <w:keepNext/>
        <w:spacing w:line="276" w:lineRule="auto"/>
      </w:pPr>
      <w:r>
        <w:t xml:space="preserve">Graf </w:t>
      </w:r>
      <w:fldSimple w:instr=" SEQ Graf \* ARABIC ">
        <w:r w:rsidR="00A828CC">
          <w:rPr>
            <w:noProof/>
          </w:rPr>
          <w:t>29</w:t>
        </w:r>
      </w:fldSimple>
      <w:r>
        <w:t>:</w:t>
      </w:r>
      <w:r w:rsidRPr="00054D40">
        <w:t xml:space="preserve"> Celkový obrat podniků z e-commerce </w:t>
      </w:r>
      <w:r>
        <w:t xml:space="preserve">(2004 – </w:t>
      </w:r>
      <w:r w:rsidRPr="00054D40">
        <w:t>2012</w:t>
      </w:r>
      <w:r>
        <w:t>)</w:t>
      </w:r>
    </w:p>
    <w:p w:rsidR="00087681" w:rsidRDefault="00087681" w:rsidP="00087681">
      <w:pPr>
        <w:spacing w:line="276" w:lineRule="auto"/>
      </w:pPr>
      <w:r w:rsidRPr="00054D40">
        <w:rPr>
          <w:noProof/>
          <w:lang w:eastAsia="cs-CZ"/>
        </w:rPr>
        <w:drawing>
          <wp:inline distT="0" distB="0" distL="0" distR="0">
            <wp:extent cx="5760720" cy="3503385"/>
            <wp:effectExtent l="19050" t="0" r="0" b="0"/>
            <wp:docPr id="31"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srcRect/>
                    <a:stretch>
                      <a:fillRect/>
                    </a:stretch>
                  </pic:blipFill>
                  <pic:spPr bwMode="auto">
                    <a:xfrm>
                      <a:off x="0" y="0"/>
                      <a:ext cx="5760720" cy="3503385"/>
                    </a:xfrm>
                    <a:prstGeom prst="rect">
                      <a:avLst/>
                    </a:prstGeom>
                    <a:noFill/>
                    <a:ln w="9525">
                      <a:noFill/>
                      <a:miter lim="800000"/>
                      <a:headEnd/>
                      <a:tailEnd/>
                    </a:ln>
                  </pic:spPr>
                </pic:pic>
              </a:graphicData>
            </a:graphic>
          </wp:inline>
        </w:drawing>
      </w:r>
    </w:p>
    <w:p w:rsidR="00087681" w:rsidRDefault="00087681" w:rsidP="00087681">
      <w:pPr>
        <w:spacing w:line="276" w:lineRule="auto"/>
      </w:pPr>
      <w:r>
        <w:t>Zdroj: EUROSTAT</w:t>
      </w:r>
    </w:p>
    <w:p w:rsidR="00087681" w:rsidRDefault="00087681" w:rsidP="00087681">
      <w:pPr>
        <w:spacing w:line="360" w:lineRule="auto"/>
      </w:pPr>
    </w:p>
    <w:p w:rsidR="00087681" w:rsidRDefault="00087681" w:rsidP="00087681">
      <w:pPr>
        <w:spacing w:line="360" w:lineRule="auto"/>
        <w:rPr>
          <w:noProof/>
          <w:lang w:eastAsia="cs-CZ"/>
        </w:rPr>
      </w:pPr>
      <w:r>
        <w:lastRenderedPageBreak/>
        <w:t xml:space="preserve">V roce 2012 měly české podniky o 9 p.b. vyšší poměr obratu z e-commerce </w:t>
      </w:r>
      <w:r w:rsidRPr="00863B7C">
        <w:t xml:space="preserve">než </w:t>
      </w:r>
      <w:r>
        <w:t xml:space="preserve">podniky v </w:t>
      </w:r>
      <w:r w:rsidRPr="00863B7C">
        <w:t xml:space="preserve">EU. </w:t>
      </w:r>
      <w:r>
        <w:t xml:space="preserve"> Od roku 2008 rostlo v ČR procento obratu z e-commerce rychleji než v EU. Procento obratu podniků z e-commerce se od roku 2004 do roku 2012 v ČR zvýšilo o 18 p.b. V EU se procento obratu z e-commerce od roku 2004 do roku 2012 zvýšilo o 6 p.b..</w:t>
      </w:r>
      <w:r w:rsidRPr="000D6C40">
        <w:rPr>
          <w:noProof/>
          <w:lang w:eastAsia="cs-CZ"/>
        </w:rPr>
        <w:t xml:space="preserve"> </w:t>
      </w:r>
      <w:r>
        <w:rPr>
          <w:noProof/>
          <w:lang w:eastAsia="cs-CZ"/>
        </w:rPr>
        <w:t>Pomalejší trend v růstu celkového obratu podniků z e-commerce může být znovu způsoben neúplností statistik a začlenění Bulharska a Rumunska do statistik.</w:t>
      </w:r>
    </w:p>
    <w:p w:rsidR="00087681" w:rsidRDefault="00087681" w:rsidP="00087681">
      <w:pPr>
        <w:pStyle w:val="Titulek"/>
        <w:keepNext/>
        <w:spacing w:line="276" w:lineRule="auto"/>
      </w:pPr>
      <w:r>
        <w:t xml:space="preserve">Graf </w:t>
      </w:r>
      <w:fldSimple w:instr=" SEQ Graf \* ARABIC ">
        <w:r w:rsidR="00A828CC">
          <w:rPr>
            <w:noProof/>
          </w:rPr>
          <w:t>30</w:t>
        </w:r>
      </w:fldSimple>
      <w:r>
        <w:t>:</w:t>
      </w:r>
      <w:r w:rsidRPr="00054D40">
        <w:t xml:space="preserve"> Využívání internetu podniky k jednání s orgány veřejné správy 2012</w:t>
      </w:r>
    </w:p>
    <w:p w:rsidR="00087681" w:rsidRDefault="00087681" w:rsidP="00087681">
      <w:pPr>
        <w:spacing w:line="276" w:lineRule="auto"/>
      </w:pPr>
      <w:r w:rsidRPr="00054D40">
        <w:rPr>
          <w:noProof/>
          <w:lang w:eastAsia="cs-CZ"/>
        </w:rPr>
        <w:drawing>
          <wp:inline distT="0" distB="0" distL="0" distR="0">
            <wp:extent cx="5760720" cy="3072887"/>
            <wp:effectExtent l="19050" t="0" r="0" b="0"/>
            <wp:docPr id="32"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srcRect/>
                    <a:stretch>
                      <a:fillRect/>
                    </a:stretch>
                  </pic:blipFill>
                  <pic:spPr bwMode="auto">
                    <a:xfrm>
                      <a:off x="0" y="0"/>
                      <a:ext cx="5760720" cy="3072887"/>
                    </a:xfrm>
                    <a:prstGeom prst="rect">
                      <a:avLst/>
                    </a:prstGeom>
                    <a:noFill/>
                    <a:ln w="9525">
                      <a:noFill/>
                      <a:miter lim="800000"/>
                      <a:headEnd/>
                      <a:tailEnd/>
                    </a:ln>
                  </pic:spPr>
                </pic:pic>
              </a:graphicData>
            </a:graphic>
          </wp:inline>
        </w:drawing>
      </w:r>
    </w:p>
    <w:p w:rsidR="00087681" w:rsidRDefault="00087681" w:rsidP="00087681">
      <w:pPr>
        <w:spacing w:line="276" w:lineRule="auto"/>
      </w:pPr>
      <w:r>
        <w:t>Zdroj: EUROSTAT</w:t>
      </w:r>
    </w:p>
    <w:p w:rsidR="00087681" w:rsidRDefault="00087681" w:rsidP="00087681">
      <w:pPr>
        <w:pStyle w:val="Titulek"/>
        <w:keepNext/>
        <w:spacing w:line="276" w:lineRule="auto"/>
      </w:pPr>
      <w:r>
        <w:lastRenderedPageBreak/>
        <w:t xml:space="preserve">Graf </w:t>
      </w:r>
      <w:fldSimple w:instr=" SEQ Graf \* ARABIC ">
        <w:r w:rsidR="00A828CC">
          <w:rPr>
            <w:noProof/>
          </w:rPr>
          <w:t>31</w:t>
        </w:r>
      </w:fldSimple>
      <w:r>
        <w:t>:</w:t>
      </w:r>
      <w:r w:rsidRPr="00054D40">
        <w:t xml:space="preserve"> Využívání internetu podniky k jednání s orgány veřejné správy 2012</w:t>
      </w:r>
    </w:p>
    <w:p w:rsidR="00087681" w:rsidRDefault="00087681" w:rsidP="00087681">
      <w:pPr>
        <w:spacing w:line="276" w:lineRule="auto"/>
      </w:pPr>
      <w:r w:rsidRPr="00054D40">
        <w:rPr>
          <w:noProof/>
          <w:lang w:eastAsia="cs-CZ"/>
        </w:rPr>
        <w:drawing>
          <wp:inline distT="0" distB="0" distL="0" distR="0">
            <wp:extent cx="5734050" cy="3524250"/>
            <wp:effectExtent l="19050" t="0" r="0" b="0"/>
            <wp:docPr id="33"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srcRect/>
                    <a:stretch>
                      <a:fillRect/>
                    </a:stretch>
                  </pic:blipFill>
                  <pic:spPr bwMode="auto">
                    <a:xfrm>
                      <a:off x="0" y="0"/>
                      <a:ext cx="5734050" cy="3524250"/>
                    </a:xfrm>
                    <a:prstGeom prst="rect">
                      <a:avLst/>
                    </a:prstGeom>
                    <a:noFill/>
                    <a:ln w="9525">
                      <a:noFill/>
                      <a:miter lim="800000"/>
                      <a:headEnd/>
                      <a:tailEnd/>
                    </a:ln>
                  </pic:spPr>
                </pic:pic>
              </a:graphicData>
            </a:graphic>
          </wp:inline>
        </w:drawing>
      </w:r>
    </w:p>
    <w:p w:rsidR="00087681" w:rsidRDefault="00087681" w:rsidP="00087681">
      <w:pPr>
        <w:spacing w:line="276" w:lineRule="auto"/>
      </w:pPr>
      <w:r>
        <w:t>Zdroj: EUROSTAT</w:t>
      </w:r>
    </w:p>
    <w:p w:rsidR="00087681" w:rsidRDefault="00087681" w:rsidP="00087681">
      <w:pPr>
        <w:spacing w:line="360" w:lineRule="auto"/>
      </w:pPr>
      <w:r>
        <w:t xml:space="preserve">V roce 2012 využívalo v ČR 92 % podniků internet jako formu jednání mezi podniky a orgány veřejné správy. V EU využívalo internet k jednání s orgány veřejné správy pouze 87 % podniků. </w:t>
      </w:r>
      <w:r w:rsidRPr="00863B7C">
        <w:t xml:space="preserve"> Dlouhodobý trend ukazuje, že ČR </w:t>
      </w:r>
      <w:r>
        <w:t>zaznamenala pokles využívání internetu podniky k jednání s orgány veřejné správy od roku 2005 do roku 2009. Od roku 2010 do roku 2012 však došlo v ČR</w:t>
      </w:r>
      <w:r w:rsidRPr="00863B7C">
        <w:t xml:space="preserve"> </w:t>
      </w:r>
      <w:r>
        <w:t xml:space="preserve">k výraznému </w:t>
      </w:r>
      <w:r w:rsidRPr="00863B7C">
        <w:t>navýšen</w:t>
      </w:r>
      <w:r>
        <w:t xml:space="preserve">í využívání internetu podniky k jednání s orgány veřejné správy a to jak absolutně, tak v porovnání s EU. Toto navýšení je pravděpodobně způsobeno zavedením datových schránek a využíváním internetu k veřejným zakázkám. Využívání internetu podniky k jednání s orgány veřejné správy se od roku 2004 do roku 2012 v ČR zvýšilo o 17 p.b. V EU se toto procento zvýšilo o 36 p.b., tudíž o 19 p.b. více než v ČR. </w:t>
      </w:r>
      <w:r w:rsidRPr="00555026">
        <w:t>Využívání internetu k jednání veřejné správy je důležitý jak pro podniky, tak i pro jednotlivce. Orgány veřejné správy jsou kvůli zjednodušení komunikace díky internetu nuceny k vnitřním a vnějším reformám, k větší otevřenosti, transparentnosti a k zvýšení efektivity. Podniky, či jednotlivci mohou komunikovat rychleji a komentovat nedostatky, ke kterým orgány veřejné správy mohou nastínit možné způsoby řešení.</w:t>
      </w:r>
    </w:p>
    <w:p w:rsidR="00087681" w:rsidRDefault="00087681" w:rsidP="00087681">
      <w:pPr>
        <w:pStyle w:val="Titulek"/>
        <w:keepNext/>
        <w:spacing w:line="276" w:lineRule="auto"/>
      </w:pPr>
      <w:r>
        <w:lastRenderedPageBreak/>
        <w:t xml:space="preserve">Graf </w:t>
      </w:r>
      <w:fldSimple w:instr=" SEQ Graf \* ARABIC ">
        <w:r w:rsidR="00A828CC">
          <w:rPr>
            <w:noProof/>
          </w:rPr>
          <w:t>32</w:t>
        </w:r>
      </w:fldSimple>
      <w:r>
        <w:t>:</w:t>
      </w:r>
      <w:r w:rsidRPr="00054D40">
        <w:t xml:space="preserve"> Podniky s pevným širokopásmovým připojením k internetu 2012</w:t>
      </w:r>
    </w:p>
    <w:p w:rsidR="00087681" w:rsidRDefault="00087681" w:rsidP="00087681">
      <w:pPr>
        <w:spacing w:line="276" w:lineRule="auto"/>
      </w:pPr>
      <w:r w:rsidRPr="00054D40">
        <w:rPr>
          <w:noProof/>
          <w:lang w:eastAsia="cs-CZ"/>
        </w:rPr>
        <w:drawing>
          <wp:inline distT="0" distB="0" distL="0" distR="0">
            <wp:extent cx="5760720" cy="3197819"/>
            <wp:effectExtent l="19050" t="0" r="0" b="0"/>
            <wp:docPr id="34"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cstate="print"/>
                    <a:srcRect/>
                    <a:stretch>
                      <a:fillRect/>
                    </a:stretch>
                  </pic:blipFill>
                  <pic:spPr bwMode="auto">
                    <a:xfrm>
                      <a:off x="0" y="0"/>
                      <a:ext cx="5760720" cy="3197819"/>
                    </a:xfrm>
                    <a:prstGeom prst="rect">
                      <a:avLst/>
                    </a:prstGeom>
                    <a:noFill/>
                    <a:ln w="9525">
                      <a:noFill/>
                      <a:miter lim="800000"/>
                      <a:headEnd/>
                      <a:tailEnd/>
                    </a:ln>
                  </pic:spPr>
                </pic:pic>
              </a:graphicData>
            </a:graphic>
          </wp:inline>
        </w:drawing>
      </w:r>
    </w:p>
    <w:p w:rsidR="00087681" w:rsidRDefault="00087681" w:rsidP="00087681">
      <w:pPr>
        <w:spacing w:line="276" w:lineRule="auto"/>
      </w:pPr>
      <w:r>
        <w:t>Zdroj: EUROSTAT</w:t>
      </w:r>
    </w:p>
    <w:p w:rsidR="00087681" w:rsidRDefault="00087681" w:rsidP="00087681">
      <w:pPr>
        <w:pStyle w:val="Titulek"/>
        <w:keepNext/>
        <w:spacing w:line="276" w:lineRule="auto"/>
      </w:pPr>
      <w:r>
        <w:t xml:space="preserve">Graf </w:t>
      </w:r>
      <w:fldSimple w:instr=" SEQ Graf \* ARABIC ">
        <w:r w:rsidR="00A828CC">
          <w:rPr>
            <w:noProof/>
          </w:rPr>
          <w:t>33</w:t>
        </w:r>
      </w:fldSimple>
      <w:r>
        <w:t>:</w:t>
      </w:r>
      <w:r w:rsidRPr="00054D40">
        <w:t xml:space="preserve"> Podniky s pevným širokopásmovým připojením k internetu </w:t>
      </w:r>
      <w:r>
        <w:t xml:space="preserve">(2010 – </w:t>
      </w:r>
      <w:r w:rsidRPr="00054D40">
        <w:t>2012</w:t>
      </w:r>
      <w:r>
        <w:t>)</w:t>
      </w:r>
    </w:p>
    <w:p w:rsidR="00087681" w:rsidRDefault="00087681" w:rsidP="00087681">
      <w:pPr>
        <w:spacing w:line="276" w:lineRule="auto"/>
      </w:pPr>
      <w:r w:rsidRPr="00054D40">
        <w:rPr>
          <w:noProof/>
          <w:lang w:eastAsia="cs-CZ"/>
        </w:rPr>
        <w:drawing>
          <wp:inline distT="0" distB="0" distL="0" distR="0">
            <wp:extent cx="5591175" cy="3066129"/>
            <wp:effectExtent l="19050" t="0" r="0" b="0"/>
            <wp:docPr id="36"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cstate="print"/>
                    <a:srcRect/>
                    <a:stretch>
                      <a:fillRect/>
                    </a:stretch>
                  </pic:blipFill>
                  <pic:spPr bwMode="auto">
                    <a:xfrm>
                      <a:off x="0" y="0"/>
                      <a:ext cx="5589327" cy="3065116"/>
                    </a:xfrm>
                    <a:prstGeom prst="rect">
                      <a:avLst/>
                    </a:prstGeom>
                    <a:noFill/>
                    <a:ln w="9525">
                      <a:noFill/>
                      <a:miter lim="800000"/>
                      <a:headEnd/>
                      <a:tailEnd/>
                    </a:ln>
                  </pic:spPr>
                </pic:pic>
              </a:graphicData>
            </a:graphic>
          </wp:inline>
        </w:drawing>
      </w:r>
    </w:p>
    <w:p w:rsidR="00087681" w:rsidRDefault="00087681" w:rsidP="00087681">
      <w:pPr>
        <w:spacing w:line="276" w:lineRule="auto"/>
      </w:pPr>
      <w:r>
        <w:t>Zdroj: EUROSTAT</w:t>
      </w:r>
    </w:p>
    <w:p w:rsidR="00087681" w:rsidRDefault="00087681" w:rsidP="00087681">
      <w:pPr>
        <w:spacing w:line="360" w:lineRule="auto"/>
      </w:pPr>
      <w:r>
        <w:t>V roce 2012 měla ČR o 1 p.b.</w:t>
      </w:r>
      <w:r w:rsidRPr="00C708CB">
        <w:t xml:space="preserve"> v</w:t>
      </w:r>
      <w:r>
        <w:t>yšší poměr podniků s pevným širokopásmovým připojením k internetu</w:t>
      </w:r>
      <w:r w:rsidRPr="00C708CB">
        <w:t>.  Dlouhodobý trend</w:t>
      </w:r>
      <w:r>
        <w:t xml:space="preserve"> od roku 2010 do roku 2012</w:t>
      </w:r>
      <w:r w:rsidRPr="00C708CB">
        <w:t xml:space="preserve"> ukazuje, že ČR </w:t>
      </w:r>
      <w:r>
        <w:t>i EU vykazují relativně konstantní nárůst procenta podniků s pevným širokopásmovým připojením k internetu</w:t>
      </w:r>
      <w:r w:rsidRPr="00C708CB">
        <w:t>.</w:t>
      </w:r>
      <w:r>
        <w:t xml:space="preserve">  Procento podniků s pevným širokopásmovým připojením k internetu se od roku 2010 do roku 2012 v ČR zvýšilo o 6 p.b.  stejně jak v EU. </w:t>
      </w:r>
    </w:p>
    <w:p w:rsidR="00087681" w:rsidRDefault="00087681" w:rsidP="00087681">
      <w:pPr>
        <w:pStyle w:val="Titulek"/>
        <w:keepNext/>
        <w:spacing w:line="276" w:lineRule="auto"/>
      </w:pPr>
      <w:r>
        <w:lastRenderedPageBreak/>
        <w:t xml:space="preserve">Graf </w:t>
      </w:r>
      <w:fldSimple w:instr=" SEQ Graf \* ARABIC ">
        <w:r w:rsidR="00A828CC">
          <w:rPr>
            <w:noProof/>
          </w:rPr>
          <w:t>34</w:t>
        </w:r>
      </w:fldSimple>
      <w:r>
        <w:t>:</w:t>
      </w:r>
      <w:r w:rsidRPr="00E11C33">
        <w:t xml:space="preserve"> Podniky, které používají internet pro bankovnictví a finanční služby 2010</w:t>
      </w:r>
    </w:p>
    <w:p w:rsidR="00087681" w:rsidRDefault="00087681" w:rsidP="00087681">
      <w:pPr>
        <w:spacing w:line="276" w:lineRule="auto"/>
      </w:pPr>
      <w:r w:rsidRPr="00E11C33">
        <w:rPr>
          <w:noProof/>
          <w:lang w:eastAsia="cs-CZ"/>
        </w:rPr>
        <w:drawing>
          <wp:inline distT="0" distB="0" distL="0" distR="0">
            <wp:extent cx="5760720" cy="3652279"/>
            <wp:effectExtent l="19050" t="0" r="0" b="0"/>
            <wp:docPr id="37"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cstate="print"/>
                    <a:srcRect/>
                    <a:stretch>
                      <a:fillRect/>
                    </a:stretch>
                  </pic:blipFill>
                  <pic:spPr bwMode="auto">
                    <a:xfrm>
                      <a:off x="0" y="0"/>
                      <a:ext cx="5760720" cy="3652279"/>
                    </a:xfrm>
                    <a:prstGeom prst="rect">
                      <a:avLst/>
                    </a:prstGeom>
                    <a:noFill/>
                    <a:ln w="9525">
                      <a:noFill/>
                      <a:miter lim="800000"/>
                      <a:headEnd/>
                      <a:tailEnd/>
                    </a:ln>
                  </pic:spPr>
                </pic:pic>
              </a:graphicData>
            </a:graphic>
          </wp:inline>
        </w:drawing>
      </w:r>
    </w:p>
    <w:p w:rsidR="00087681" w:rsidRDefault="00087681" w:rsidP="00087681">
      <w:pPr>
        <w:spacing w:line="276" w:lineRule="auto"/>
      </w:pPr>
      <w:r>
        <w:t>Zdroj: EUROSTAT</w:t>
      </w:r>
    </w:p>
    <w:p w:rsidR="00087681" w:rsidRDefault="00087681" w:rsidP="00087681">
      <w:pPr>
        <w:pStyle w:val="Titulek"/>
        <w:keepNext/>
        <w:spacing w:line="276" w:lineRule="auto"/>
      </w:pPr>
      <w:r>
        <w:t xml:space="preserve">Graf </w:t>
      </w:r>
      <w:fldSimple w:instr=" SEQ Graf \* ARABIC ">
        <w:r w:rsidR="00A828CC">
          <w:rPr>
            <w:noProof/>
          </w:rPr>
          <w:t>35</w:t>
        </w:r>
      </w:fldSimple>
      <w:r>
        <w:t>:</w:t>
      </w:r>
      <w:r w:rsidRPr="00E11C33">
        <w:t xml:space="preserve"> Podniky, které používají internet pro bankovnictví a finanční služby </w:t>
      </w:r>
      <w:r>
        <w:t xml:space="preserve">(2004 – </w:t>
      </w:r>
      <w:r w:rsidRPr="00E11C33">
        <w:t>2010</w:t>
      </w:r>
      <w:r>
        <w:t>)</w:t>
      </w:r>
    </w:p>
    <w:p w:rsidR="00087681" w:rsidRDefault="00087681" w:rsidP="00087681">
      <w:pPr>
        <w:spacing w:line="276" w:lineRule="auto"/>
      </w:pPr>
      <w:r w:rsidRPr="00E11C33">
        <w:rPr>
          <w:noProof/>
          <w:lang w:eastAsia="cs-CZ"/>
        </w:rPr>
        <w:drawing>
          <wp:inline distT="0" distB="0" distL="0" distR="0">
            <wp:extent cx="5760720" cy="3145656"/>
            <wp:effectExtent l="19050" t="0" r="0" b="0"/>
            <wp:docPr id="38"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print"/>
                    <a:srcRect/>
                    <a:stretch>
                      <a:fillRect/>
                    </a:stretch>
                  </pic:blipFill>
                  <pic:spPr bwMode="auto">
                    <a:xfrm>
                      <a:off x="0" y="0"/>
                      <a:ext cx="5760720" cy="3145656"/>
                    </a:xfrm>
                    <a:prstGeom prst="rect">
                      <a:avLst/>
                    </a:prstGeom>
                    <a:noFill/>
                    <a:ln w="9525">
                      <a:noFill/>
                      <a:miter lim="800000"/>
                      <a:headEnd/>
                      <a:tailEnd/>
                    </a:ln>
                  </pic:spPr>
                </pic:pic>
              </a:graphicData>
            </a:graphic>
          </wp:inline>
        </w:drawing>
      </w:r>
    </w:p>
    <w:p w:rsidR="00635E3D" w:rsidRDefault="00635E3D" w:rsidP="00087681">
      <w:pPr>
        <w:spacing w:line="360" w:lineRule="auto"/>
      </w:pPr>
      <w:r>
        <w:t xml:space="preserve">Zdroj: EUROSTAT </w:t>
      </w:r>
    </w:p>
    <w:p w:rsidR="00087681" w:rsidRDefault="00635E3D" w:rsidP="00087681">
      <w:pPr>
        <w:spacing w:line="360" w:lineRule="auto"/>
      </w:pPr>
      <w:r>
        <w:t>V</w:t>
      </w:r>
      <w:r w:rsidR="00087681">
        <w:t xml:space="preserve"> roce 2010 měla ČR 87 % podniků, které používaly internet pro bankovnictví a finanční služby, což je o 5 p.b.  více než průměr v EU.  ČR i EU mají celkem konstantní růst procenta podniků v tomto kritériu. ČR má celkově v dlouhodobém trendu od roku 2004 do roku 2010 pomalejší </w:t>
      </w:r>
      <w:r w:rsidR="00087681">
        <w:lastRenderedPageBreak/>
        <w:t xml:space="preserve">růst procenta podniků, které používají internet pro bankovnictví a finanční služby.  Poměr podniků, které používají internet pro bankovnictví se od roku 2004 do roku 2010 v ČR zvýšil o 13 p.b., což je o 3 p.b. menší nárůst než v EU. Relevance srovnání tohoto ukazatele může být ovlivněna neúplností statistik EUROSTATU, kdy ne všechny země dodaly požadované údaje. Internet vytvořil v bankovnictví nové příležitosti.  Podle výzkumu Boston Consulting Group, </w:t>
      </w:r>
      <w:r w:rsidR="00087681" w:rsidRPr="00F507C0">
        <w:t xml:space="preserve">použití internetu pro bankovnictví má mnoho výhod. Interakce mezi klienty je velice snadná a rychlá. </w:t>
      </w:r>
      <w:r w:rsidR="00087681">
        <w:t xml:space="preserve">Pro firmy je </w:t>
      </w:r>
      <w:r w:rsidR="00087681" w:rsidRPr="00F507C0">
        <w:t xml:space="preserve">jednodušší organizovat jejich bankovnictví. </w:t>
      </w:r>
      <w:r w:rsidR="00087681">
        <w:t xml:space="preserve"> Další výhodou je v</w:t>
      </w:r>
      <w:r w:rsidR="00087681" w:rsidRPr="00F507C0">
        <w:t>ět</w:t>
      </w:r>
      <w:r w:rsidR="00087681">
        <w:t>ší rozmanitost a snadnější výběr</w:t>
      </w:r>
      <w:r w:rsidR="00087681" w:rsidRPr="00F507C0">
        <w:t>. Firmy, které používají internet pro bankovnictví</w:t>
      </w:r>
      <w:r w:rsidR="00087681">
        <w:t xml:space="preserve"> a finanční služby, mohou banky měnit díky průhlednosti a jednoduchosti ovládání účtu. </w:t>
      </w:r>
    </w:p>
    <w:p w:rsidR="00087681" w:rsidRDefault="00087681" w:rsidP="00087681"/>
    <w:p w:rsidR="00087681" w:rsidRDefault="00087681" w:rsidP="00087681">
      <w:pPr>
        <w:pStyle w:val="Nadpis2"/>
      </w:pPr>
      <w:bookmarkStart w:id="49" w:name="_Toc368040316"/>
      <w:r>
        <w:t>Zaměstnanci</w:t>
      </w:r>
      <w:bookmarkEnd w:id="49"/>
    </w:p>
    <w:p w:rsidR="00087681" w:rsidRDefault="00087681" w:rsidP="00087681"/>
    <w:p w:rsidR="00732099" w:rsidRDefault="00732099" w:rsidP="00FC4A9D">
      <w:pPr>
        <w:pStyle w:val="Titulek"/>
        <w:keepNext/>
        <w:spacing w:line="276" w:lineRule="auto"/>
      </w:pPr>
      <w:r>
        <w:t xml:space="preserve">Graf </w:t>
      </w:r>
      <w:fldSimple w:instr=" SEQ Graf \* ARABIC ">
        <w:r w:rsidR="00A828CC">
          <w:rPr>
            <w:noProof/>
          </w:rPr>
          <w:t>36</w:t>
        </w:r>
      </w:fldSimple>
      <w:r>
        <w:t xml:space="preserve">: </w:t>
      </w:r>
      <w:r w:rsidRPr="006B6ADA">
        <w:t>Procento zaměstnaných osob s uživatelskými dovednostmi ICT na celkové zaměstnanosti 2010</w:t>
      </w:r>
    </w:p>
    <w:p w:rsidR="00732099" w:rsidRDefault="00732099" w:rsidP="00FC4A9D">
      <w:pPr>
        <w:spacing w:line="276" w:lineRule="auto"/>
      </w:pPr>
      <w:r w:rsidRPr="006B6ADA">
        <w:rPr>
          <w:noProof/>
          <w:lang w:eastAsia="cs-CZ"/>
        </w:rPr>
        <w:drawing>
          <wp:inline distT="0" distB="0" distL="0" distR="0">
            <wp:extent cx="5686425" cy="3276600"/>
            <wp:effectExtent l="19050" t="0" r="9525" b="0"/>
            <wp:docPr id="5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srcRect/>
                    <a:stretch>
                      <a:fillRect/>
                    </a:stretch>
                  </pic:blipFill>
                  <pic:spPr bwMode="auto">
                    <a:xfrm>
                      <a:off x="0" y="0"/>
                      <a:ext cx="5686425" cy="3276600"/>
                    </a:xfrm>
                    <a:prstGeom prst="rect">
                      <a:avLst/>
                    </a:prstGeom>
                    <a:noFill/>
                    <a:ln w="9525">
                      <a:noFill/>
                      <a:miter lim="800000"/>
                      <a:headEnd/>
                      <a:tailEnd/>
                    </a:ln>
                  </pic:spPr>
                </pic:pic>
              </a:graphicData>
            </a:graphic>
          </wp:inline>
        </w:drawing>
      </w:r>
    </w:p>
    <w:p w:rsidR="00732099" w:rsidRDefault="00732099" w:rsidP="00FC4A9D">
      <w:pPr>
        <w:spacing w:line="276" w:lineRule="auto"/>
      </w:pPr>
      <w:r>
        <w:t>Zdroj: EUROSTAT</w:t>
      </w:r>
    </w:p>
    <w:p w:rsidR="00732099" w:rsidRDefault="00732099" w:rsidP="00FC4A9D">
      <w:pPr>
        <w:pStyle w:val="Titulek"/>
        <w:keepNext/>
        <w:spacing w:line="276" w:lineRule="auto"/>
      </w:pPr>
      <w:r>
        <w:lastRenderedPageBreak/>
        <w:t xml:space="preserve">Graf </w:t>
      </w:r>
      <w:fldSimple w:instr=" SEQ Graf \* ARABIC ">
        <w:r w:rsidR="00A828CC">
          <w:rPr>
            <w:noProof/>
          </w:rPr>
          <w:t>37</w:t>
        </w:r>
      </w:fldSimple>
      <w:r>
        <w:t>:</w:t>
      </w:r>
      <w:r w:rsidRPr="00704D3A">
        <w:t xml:space="preserve"> Procento zaměstnaných osob s uživatelskými dovednostmi ICT na celkové zaměstnanosti </w:t>
      </w:r>
      <w:r>
        <w:t xml:space="preserve">(2003 – </w:t>
      </w:r>
      <w:r w:rsidRPr="00704D3A">
        <w:t>2010</w:t>
      </w:r>
      <w:r>
        <w:t>)</w:t>
      </w:r>
    </w:p>
    <w:p w:rsidR="00732099" w:rsidRDefault="00732099" w:rsidP="00FC4A9D">
      <w:pPr>
        <w:spacing w:line="276" w:lineRule="auto"/>
      </w:pPr>
      <w:r w:rsidRPr="00704D3A">
        <w:rPr>
          <w:noProof/>
          <w:lang w:eastAsia="cs-CZ"/>
        </w:rPr>
        <w:drawing>
          <wp:inline distT="0" distB="0" distL="0" distR="0">
            <wp:extent cx="5760720" cy="3290523"/>
            <wp:effectExtent l="19050" t="0" r="0" b="0"/>
            <wp:docPr id="5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srcRect/>
                    <a:stretch>
                      <a:fillRect/>
                    </a:stretch>
                  </pic:blipFill>
                  <pic:spPr bwMode="auto">
                    <a:xfrm>
                      <a:off x="0" y="0"/>
                      <a:ext cx="5760720" cy="3290523"/>
                    </a:xfrm>
                    <a:prstGeom prst="rect">
                      <a:avLst/>
                    </a:prstGeom>
                    <a:noFill/>
                    <a:ln w="9525">
                      <a:noFill/>
                      <a:miter lim="800000"/>
                      <a:headEnd/>
                      <a:tailEnd/>
                    </a:ln>
                  </pic:spPr>
                </pic:pic>
              </a:graphicData>
            </a:graphic>
          </wp:inline>
        </w:drawing>
      </w:r>
    </w:p>
    <w:p w:rsidR="00732099" w:rsidRDefault="00732099" w:rsidP="00FC4A9D">
      <w:pPr>
        <w:spacing w:line="276" w:lineRule="auto"/>
      </w:pPr>
      <w:r>
        <w:t>Zdroj: EUROSTAT</w:t>
      </w:r>
    </w:p>
    <w:p w:rsidR="00732099" w:rsidRDefault="00732099" w:rsidP="00FC4A9D">
      <w:pPr>
        <w:spacing w:line="276" w:lineRule="auto"/>
      </w:pPr>
    </w:p>
    <w:p w:rsidR="002A571F" w:rsidRDefault="00732099">
      <w:pPr>
        <w:spacing w:line="360" w:lineRule="auto"/>
      </w:pPr>
      <w:r>
        <w:t>Podíl zaměstnaných osob s uživatelskými dovednostmi ICT na celkové zaměstnanosti v roce 2010 je v ČR lehce pod</w:t>
      </w:r>
      <w:r w:rsidR="00044315">
        <w:t xml:space="preserve"> </w:t>
      </w:r>
      <w:r>
        <w:t xml:space="preserve">průměrem EU. Nejvyšší podíl zaměstnaných osob s uživatelskými dovednostmi vykazují skandinávské země (Dánsko, Finsko), kde tento podíl překračuje hranici </w:t>
      </w:r>
      <w:r w:rsidR="00F37A9A">
        <w:t xml:space="preserve"> </w:t>
      </w:r>
      <w:r>
        <w:t>21 %. Dlouhodobý trend dokazuje, že od roku 2003 podíl zaměstnaných osob s uživatelskými dovednostmi neustále rostl. V posledních letech byl trend stoupajících ICT dovedností v ČR rychlejší než průměr EU, přesto je procento zaměstnaných s ICT dovednostmi v ČR stále mírně pod průměrem EU. Poměr zaměstnaných osob s uživatelskými dovednostmi ICT na celkové zaměstnanosti se od roku 2003 do roku 2010 v ČR zvýšil o 2,4 p.b. V EU se procento v této kategorii od roku 2003 do roku 2010 zvýšilo o 1,03 p.b., tudíž o 1,37 p.b.  méně než v ČR. . Podle organizace OECD, ICT dovednosti u zaměstnanců jsou velmi důležité pro podniky.  ICT dovednosti u zaměstnanců zvyšují produktivitu, organizační inovaci, zvyšují konkurenceschopnost a příležitosti pro globalizaci, zejména v oblasti služeb. Všechny tyto aspekty mají dopad na zaměstnanost a flexibilitu trhu práce. ICT dovednosti zvyšují produktivitu práce, může to však mít nějaké časové prodlení</w:t>
      </w:r>
      <w:r w:rsidR="00044315">
        <w:t>,</w:t>
      </w:r>
      <w:r>
        <w:t xml:space="preserve"> </w:t>
      </w:r>
      <w:r w:rsidR="00044315">
        <w:t>n</w:t>
      </w:r>
      <w:r>
        <w:t xml:space="preserve">eboť ICT investice </w:t>
      </w:r>
      <w:r w:rsidR="00044315">
        <w:t xml:space="preserve">může </w:t>
      </w:r>
      <w:r>
        <w:t xml:space="preserve">být spojena s počátečním poklesem produktivity, </w:t>
      </w:r>
      <w:r w:rsidR="00044315">
        <w:t>jelikož</w:t>
      </w:r>
      <w:r>
        <w:t xml:space="preserve"> reorganizace a učení vyžadují finanční i časové</w:t>
      </w:r>
      <w:r w:rsidR="00044315">
        <w:t xml:space="preserve"> zdroje</w:t>
      </w:r>
      <w:r>
        <w:t>. Podle průzkumu OECD</w:t>
      </w:r>
      <w:r>
        <w:rPr>
          <w:rStyle w:val="Znakapoznpodarou"/>
        </w:rPr>
        <w:footnoteReference w:id="74"/>
      </w:r>
      <w:r>
        <w:t xml:space="preserve"> investice do informačních a komunikačních technologií přinesou </w:t>
      </w:r>
      <w:r>
        <w:lastRenderedPageBreak/>
        <w:t>zvýšení produktivity, protože umožní firmám snížit náklady a zároveň zvýšit výkonnost. To může mít také positivní dopad na kvalitu nových produktů nebo zlepšení v oblasti nehmotných aspektů stávajících produktů.</w:t>
      </w:r>
    </w:p>
    <w:p w:rsidR="00732099" w:rsidRDefault="00467841" w:rsidP="00FC4A9D">
      <w:pPr>
        <w:spacing w:line="276" w:lineRule="auto"/>
      </w:pPr>
      <w:hyperlink r:id="rId59" w:history="1">
        <w:r w:rsidR="00732099" w:rsidRPr="00924F8B">
          <w:rPr>
            <w:rStyle w:val="Hypertextovodkaz"/>
          </w:rPr>
          <w:t>http://www.oecd.org/sti/40781696.pdf</w:t>
        </w:r>
      </w:hyperlink>
    </w:p>
    <w:p w:rsidR="00732099" w:rsidRDefault="00732099" w:rsidP="00FC4A9D">
      <w:pPr>
        <w:spacing w:line="276" w:lineRule="auto"/>
      </w:pPr>
    </w:p>
    <w:p w:rsidR="00732099" w:rsidRDefault="00732099" w:rsidP="00FC4A9D">
      <w:pPr>
        <w:pStyle w:val="Titulek"/>
        <w:keepNext/>
        <w:spacing w:line="276" w:lineRule="auto"/>
      </w:pPr>
      <w:r>
        <w:t xml:space="preserve">Graf </w:t>
      </w:r>
      <w:fldSimple w:instr=" SEQ Graf \* ARABIC ">
        <w:r w:rsidR="00A828CC">
          <w:rPr>
            <w:noProof/>
          </w:rPr>
          <w:t>38</w:t>
        </w:r>
      </w:fldSimple>
      <w:r>
        <w:t>:</w:t>
      </w:r>
      <w:r w:rsidRPr="006B6ADA">
        <w:t xml:space="preserve"> Zaměstnanci používající počítač 2012</w:t>
      </w:r>
    </w:p>
    <w:p w:rsidR="00732099" w:rsidRDefault="00732099" w:rsidP="00FC4A9D">
      <w:pPr>
        <w:spacing w:line="276" w:lineRule="auto"/>
      </w:pPr>
      <w:r w:rsidRPr="006B6ADA">
        <w:rPr>
          <w:noProof/>
          <w:lang w:eastAsia="cs-CZ"/>
        </w:rPr>
        <w:drawing>
          <wp:inline distT="0" distB="0" distL="0" distR="0">
            <wp:extent cx="5657850" cy="3122415"/>
            <wp:effectExtent l="19050" t="0" r="0" b="0"/>
            <wp:docPr id="59"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srcRect/>
                    <a:stretch>
                      <a:fillRect/>
                    </a:stretch>
                  </pic:blipFill>
                  <pic:spPr bwMode="auto">
                    <a:xfrm>
                      <a:off x="0" y="0"/>
                      <a:ext cx="5655980" cy="3121383"/>
                    </a:xfrm>
                    <a:prstGeom prst="rect">
                      <a:avLst/>
                    </a:prstGeom>
                    <a:noFill/>
                    <a:ln w="9525">
                      <a:noFill/>
                      <a:miter lim="800000"/>
                      <a:headEnd/>
                      <a:tailEnd/>
                    </a:ln>
                  </pic:spPr>
                </pic:pic>
              </a:graphicData>
            </a:graphic>
          </wp:inline>
        </w:drawing>
      </w:r>
    </w:p>
    <w:p w:rsidR="00732099" w:rsidRDefault="00732099" w:rsidP="00FC4A9D">
      <w:pPr>
        <w:spacing w:line="276" w:lineRule="auto"/>
      </w:pPr>
      <w:r>
        <w:t>Zdroj: EUROSTAT</w:t>
      </w:r>
    </w:p>
    <w:p w:rsidR="00732099" w:rsidRDefault="00732099" w:rsidP="00FC4A9D">
      <w:pPr>
        <w:pStyle w:val="Titulek"/>
        <w:keepNext/>
        <w:spacing w:line="276" w:lineRule="auto"/>
      </w:pPr>
      <w:r>
        <w:t xml:space="preserve">Graf </w:t>
      </w:r>
      <w:fldSimple w:instr=" SEQ Graf \* ARABIC ">
        <w:r w:rsidR="00A828CC">
          <w:rPr>
            <w:noProof/>
          </w:rPr>
          <w:t>39</w:t>
        </w:r>
      </w:fldSimple>
      <w:r>
        <w:t>:</w:t>
      </w:r>
      <w:r w:rsidRPr="006B6ADA">
        <w:t xml:space="preserve"> </w:t>
      </w:r>
      <w:r w:rsidR="00044315">
        <w:t xml:space="preserve">Trend v podílu </w:t>
      </w:r>
      <w:r w:rsidRPr="006B6ADA">
        <w:t>Zaměstnanc</w:t>
      </w:r>
      <w:r w:rsidR="00044315">
        <w:t>ů</w:t>
      </w:r>
      <w:r w:rsidRPr="006B6ADA">
        <w:t xml:space="preserve"> používající</w:t>
      </w:r>
      <w:r w:rsidR="00044315">
        <w:t>ch</w:t>
      </w:r>
      <w:r w:rsidRPr="006B6ADA">
        <w:t xml:space="preserve"> počítač</w:t>
      </w:r>
    </w:p>
    <w:p w:rsidR="00732099" w:rsidRDefault="00732099" w:rsidP="00FC4A9D">
      <w:pPr>
        <w:spacing w:line="276" w:lineRule="auto"/>
      </w:pPr>
      <w:r w:rsidRPr="006B6ADA">
        <w:rPr>
          <w:noProof/>
          <w:lang w:eastAsia="cs-CZ"/>
        </w:rPr>
        <w:drawing>
          <wp:inline distT="0" distB="0" distL="0" distR="0">
            <wp:extent cx="5760720" cy="3208066"/>
            <wp:effectExtent l="19050" t="0" r="0" b="0"/>
            <wp:docPr id="61"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srcRect/>
                    <a:stretch>
                      <a:fillRect/>
                    </a:stretch>
                  </pic:blipFill>
                  <pic:spPr bwMode="auto">
                    <a:xfrm>
                      <a:off x="0" y="0"/>
                      <a:ext cx="5760720" cy="3208066"/>
                    </a:xfrm>
                    <a:prstGeom prst="rect">
                      <a:avLst/>
                    </a:prstGeom>
                    <a:noFill/>
                    <a:ln w="9525">
                      <a:noFill/>
                      <a:miter lim="800000"/>
                      <a:headEnd/>
                      <a:tailEnd/>
                    </a:ln>
                  </pic:spPr>
                </pic:pic>
              </a:graphicData>
            </a:graphic>
          </wp:inline>
        </w:drawing>
      </w:r>
    </w:p>
    <w:p w:rsidR="00732099" w:rsidRDefault="00732099" w:rsidP="00FC4A9D">
      <w:pPr>
        <w:spacing w:line="276" w:lineRule="auto"/>
      </w:pPr>
      <w:r>
        <w:t>Zdroj: EUROSTAT</w:t>
      </w:r>
    </w:p>
    <w:p w:rsidR="002A571F" w:rsidRDefault="00732099">
      <w:pPr>
        <w:spacing w:line="360" w:lineRule="auto"/>
      </w:pPr>
      <w:r w:rsidRPr="000D6C40">
        <w:lastRenderedPageBreak/>
        <w:t xml:space="preserve">Podle dat z </w:t>
      </w:r>
      <w:r w:rsidR="00044315">
        <w:t>E</w:t>
      </w:r>
      <w:r w:rsidRPr="000D6C40">
        <w:t>urostatu je vidět, že v roce 2012 42</w:t>
      </w:r>
      <w:r>
        <w:t xml:space="preserve"> </w:t>
      </w:r>
      <w:r w:rsidRPr="000D6C40">
        <w:t>% zaměstnanců v ČR používa</w:t>
      </w:r>
      <w:r>
        <w:t xml:space="preserve">lo </w:t>
      </w:r>
      <w:r w:rsidRPr="000D6C40">
        <w:t>počítač v zaměstnání.  Průměr zaměstnanců používající počítač v zaměstnání v EU je 53 %, tudíž o 11</w:t>
      </w:r>
      <w:r>
        <w:t xml:space="preserve"> p.b.</w:t>
      </w:r>
      <w:r w:rsidRPr="000D6C40">
        <w:t xml:space="preserve"> více než v ČR.  Celkově </w:t>
      </w:r>
      <w:r>
        <w:t xml:space="preserve">tedy v ČR používá při práci počítač menší procento zaměstnanců v porovnání s evropským průměrem. Dlouhodobý trend od roku 2004 do roku 2012 ukazuje navýšení podílu zaměstnanců používající počítač v zaměstnání v EU a ČR. Od roku 2004 do roku 2012 se podíl zaměstnanců používající počítač v zaměstnání zvýšil v ČR o 6 p.b. Za stejnou dobu došlo ke zvýšení evropského průměru  o 9 p.b. </w:t>
      </w:r>
    </w:p>
    <w:p w:rsidR="00732099" w:rsidRDefault="00732099" w:rsidP="00FC4A9D">
      <w:pPr>
        <w:pStyle w:val="Titulek"/>
        <w:keepNext/>
        <w:spacing w:line="276" w:lineRule="auto"/>
      </w:pPr>
      <w:r>
        <w:t xml:space="preserve">Graf </w:t>
      </w:r>
      <w:fldSimple w:instr=" SEQ Graf \* ARABIC ">
        <w:r w:rsidR="00A828CC">
          <w:rPr>
            <w:noProof/>
          </w:rPr>
          <w:t>40</w:t>
        </w:r>
      </w:fldSimple>
      <w:r>
        <w:t>:</w:t>
      </w:r>
      <w:r w:rsidRPr="00555038">
        <w:t xml:space="preserve"> Zaměstnanci pracující v podniku s přístupem k internetu 2012</w:t>
      </w:r>
    </w:p>
    <w:p w:rsidR="00732099" w:rsidRDefault="00732099" w:rsidP="00FC4A9D">
      <w:pPr>
        <w:spacing w:line="276" w:lineRule="auto"/>
      </w:pPr>
      <w:r w:rsidRPr="00555038">
        <w:rPr>
          <w:noProof/>
          <w:lang w:eastAsia="cs-CZ"/>
        </w:rPr>
        <w:drawing>
          <wp:inline distT="0" distB="0" distL="0" distR="0">
            <wp:extent cx="5760720" cy="3267274"/>
            <wp:effectExtent l="19050" t="0" r="0" b="0"/>
            <wp:docPr id="6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srcRect/>
                    <a:stretch>
                      <a:fillRect/>
                    </a:stretch>
                  </pic:blipFill>
                  <pic:spPr bwMode="auto">
                    <a:xfrm>
                      <a:off x="0" y="0"/>
                      <a:ext cx="5760720" cy="3267274"/>
                    </a:xfrm>
                    <a:prstGeom prst="rect">
                      <a:avLst/>
                    </a:prstGeom>
                    <a:noFill/>
                    <a:ln w="9525">
                      <a:noFill/>
                      <a:miter lim="800000"/>
                      <a:headEnd/>
                      <a:tailEnd/>
                    </a:ln>
                  </pic:spPr>
                </pic:pic>
              </a:graphicData>
            </a:graphic>
          </wp:inline>
        </w:drawing>
      </w:r>
    </w:p>
    <w:p w:rsidR="00732099" w:rsidRDefault="00732099" w:rsidP="00FC4A9D">
      <w:pPr>
        <w:spacing w:line="276" w:lineRule="auto"/>
      </w:pPr>
      <w:r>
        <w:t>Zdroj: EUROSTAT</w:t>
      </w:r>
    </w:p>
    <w:p w:rsidR="00732099" w:rsidRDefault="00732099" w:rsidP="00FC4A9D">
      <w:pPr>
        <w:spacing w:line="276" w:lineRule="auto"/>
      </w:pPr>
    </w:p>
    <w:p w:rsidR="00732099" w:rsidRDefault="00732099" w:rsidP="00FC4A9D">
      <w:pPr>
        <w:pStyle w:val="Titulek"/>
        <w:keepNext/>
        <w:spacing w:line="276" w:lineRule="auto"/>
      </w:pPr>
      <w:r>
        <w:lastRenderedPageBreak/>
        <w:t xml:space="preserve">Graf </w:t>
      </w:r>
      <w:fldSimple w:instr=" SEQ Graf \* ARABIC ">
        <w:r w:rsidR="00A828CC">
          <w:rPr>
            <w:noProof/>
          </w:rPr>
          <w:t>41</w:t>
        </w:r>
      </w:fldSimple>
      <w:r>
        <w:t>:</w:t>
      </w:r>
      <w:r w:rsidRPr="00555038">
        <w:t xml:space="preserve"> Zaměstnanci pracující v podniku s přístupem k internetu </w:t>
      </w:r>
      <w:r>
        <w:t xml:space="preserve">(2005 - </w:t>
      </w:r>
      <w:r w:rsidRPr="00555038">
        <w:t>2012</w:t>
      </w:r>
      <w:r>
        <w:t>)</w:t>
      </w:r>
    </w:p>
    <w:p w:rsidR="00732099" w:rsidRDefault="00732099" w:rsidP="00FC4A9D">
      <w:pPr>
        <w:spacing w:line="276" w:lineRule="auto"/>
      </w:pPr>
      <w:r w:rsidRPr="00555038">
        <w:rPr>
          <w:noProof/>
          <w:lang w:eastAsia="cs-CZ"/>
        </w:rPr>
        <w:drawing>
          <wp:inline distT="0" distB="0" distL="0" distR="0">
            <wp:extent cx="5760720" cy="2979683"/>
            <wp:effectExtent l="19050" t="0" r="0" b="0"/>
            <wp:docPr id="63"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srcRect/>
                    <a:stretch>
                      <a:fillRect/>
                    </a:stretch>
                  </pic:blipFill>
                  <pic:spPr bwMode="auto">
                    <a:xfrm>
                      <a:off x="0" y="0"/>
                      <a:ext cx="5760720" cy="2979683"/>
                    </a:xfrm>
                    <a:prstGeom prst="rect">
                      <a:avLst/>
                    </a:prstGeom>
                    <a:noFill/>
                    <a:ln w="9525">
                      <a:noFill/>
                      <a:miter lim="800000"/>
                      <a:headEnd/>
                      <a:tailEnd/>
                    </a:ln>
                  </pic:spPr>
                </pic:pic>
              </a:graphicData>
            </a:graphic>
          </wp:inline>
        </w:drawing>
      </w:r>
    </w:p>
    <w:p w:rsidR="00732099" w:rsidRDefault="00732099" w:rsidP="00FC4A9D">
      <w:pPr>
        <w:spacing w:line="276" w:lineRule="auto"/>
      </w:pPr>
      <w:r>
        <w:t>Zdroj: EUROSTAT</w:t>
      </w:r>
    </w:p>
    <w:p w:rsidR="00671442" w:rsidRDefault="00671442">
      <w:pPr>
        <w:spacing w:line="360" w:lineRule="auto"/>
      </w:pPr>
    </w:p>
    <w:p w:rsidR="002A571F" w:rsidRDefault="00732099">
      <w:pPr>
        <w:spacing w:line="360" w:lineRule="auto"/>
      </w:pPr>
      <w:r>
        <w:t>V roce 2012 měla ČR mírně nadprůměrný podíl zaměstnanců v podniku s přístupem na internet v porovnání s EU. Dlouhodobý trend pro ČR ukazuje na začátku sledovaného období (2005-2008) rostoucí trend v podílu zaměstnanců pracujících v podniku s přístupem k internetu v ČR. Krátkodobý pokles lze pozorovat v letech 2009 – 2010 pravděpodobně jako dopad finanční krize. V roce 2011 tak došlo znovu k růstu a pouhé 1 % zaměstnanců pracovalo v podniku bez přístupu k internetu. Procento zaměstnanců pracujících v podniku s přístupem k internetu v ČR se od roku 2005 do roku 2012 zvýšilo o 3 p.b. Oproti tomu v EU se podíl zvýšil pouze  o 1 p.b.  Dle studie Světové Banky internet zvyšuje produktivitu jednotlivců i firem.  Podle průzkumu OECD má internet positivní efekt na produktivitu zaměstnanců, protože komunikační sítě jsou vysoce korelované s výkonem zaměstnanců.</w:t>
      </w:r>
      <w:r w:rsidRPr="00F05A17">
        <w:t xml:space="preserve"> </w:t>
      </w:r>
      <w:r>
        <w:t xml:space="preserve">Internet </w:t>
      </w:r>
      <w:r w:rsidRPr="00F05A17">
        <w:t>umožň</w:t>
      </w:r>
      <w:r>
        <w:t>uje zaměstnancům</w:t>
      </w:r>
      <w:r w:rsidRPr="00F05A17">
        <w:t xml:space="preserve"> pracovat z více míst </w:t>
      </w:r>
      <w:r>
        <w:t xml:space="preserve">s flexibilní pracovní dobou a komunikovat rychleji a levněji. </w:t>
      </w:r>
    </w:p>
    <w:p w:rsidR="004B3D6C" w:rsidRDefault="004B3D6C">
      <w:pPr>
        <w:spacing w:line="360" w:lineRule="auto"/>
      </w:pPr>
    </w:p>
    <w:p w:rsidR="004B3D6C" w:rsidRDefault="004B3D6C" w:rsidP="004B3D6C">
      <w:pPr>
        <w:pStyle w:val="Titulek"/>
        <w:keepNext/>
        <w:spacing w:line="276" w:lineRule="auto"/>
      </w:pPr>
      <w:bookmarkStart w:id="50" w:name="_Ref367953280"/>
      <w:r>
        <w:lastRenderedPageBreak/>
        <w:t xml:space="preserve">Graf </w:t>
      </w:r>
      <w:fldSimple w:instr=" SEQ Graf \* ARABIC ">
        <w:r w:rsidR="00A828CC">
          <w:rPr>
            <w:noProof/>
          </w:rPr>
          <w:t>42</w:t>
        </w:r>
      </w:fldSimple>
      <w:bookmarkEnd w:id="50"/>
      <w:r>
        <w:t>:</w:t>
      </w:r>
      <w:r w:rsidRPr="006C201A">
        <w:t xml:space="preserve"> Zaměstnanci používající počítače s přístupem na internet 2012</w:t>
      </w:r>
    </w:p>
    <w:p w:rsidR="004B3D6C" w:rsidRDefault="004B3D6C" w:rsidP="004B3D6C">
      <w:pPr>
        <w:spacing w:line="276" w:lineRule="auto"/>
      </w:pPr>
      <w:r w:rsidRPr="006C201A">
        <w:rPr>
          <w:noProof/>
          <w:lang w:eastAsia="cs-CZ"/>
        </w:rPr>
        <w:drawing>
          <wp:inline distT="0" distB="0" distL="0" distR="0">
            <wp:extent cx="5760720" cy="2969360"/>
            <wp:effectExtent l="19050" t="0" r="0" b="0"/>
            <wp:docPr id="39"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cstate="print"/>
                    <a:srcRect/>
                    <a:stretch>
                      <a:fillRect/>
                    </a:stretch>
                  </pic:blipFill>
                  <pic:spPr bwMode="auto">
                    <a:xfrm>
                      <a:off x="0" y="0"/>
                      <a:ext cx="5760720" cy="2969360"/>
                    </a:xfrm>
                    <a:prstGeom prst="rect">
                      <a:avLst/>
                    </a:prstGeom>
                    <a:noFill/>
                    <a:ln w="9525">
                      <a:noFill/>
                      <a:miter lim="800000"/>
                      <a:headEnd/>
                      <a:tailEnd/>
                    </a:ln>
                  </pic:spPr>
                </pic:pic>
              </a:graphicData>
            </a:graphic>
          </wp:inline>
        </w:drawing>
      </w:r>
    </w:p>
    <w:p w:rsidR="004B3D6C" w:rsidRDefault="004B3D6C" w:rsidP="004B3D6C">
      <w:pPr>
        <w:spacing w:line="276" w:lineRule="auto"/>
      </w:pPr>
      <w:r>
        <w:t>Zdroj: EUROSTAT</w:t>
      </w:r>
    </w:p>
    <w:p w:rsidR="00671442" w:rsidRDefault="00671442" w:rsidP="004B3D6C">
      <w:pPr>
        <w:spacing w:line="360" w:lineRule="auto"/>
      </w:pPr>
    </w:p>
    <w:p w:rsidR="004B3D6C" w:rsidRDefault="004B3D6C">
      <w:pPr>
        <w:spacing w:line="360" w:lineRule="auto"/>
      </w:pPr>
      <w:r>
        <w:t xml:space="preserve">V roce 2012 měla ČR 34 % zaměstnanců, kteří používali počítač s přístupem na internet, což je o 11 </w:t>
      </w:r>
      <w:proofErr w:type="gramStart"/>
      <w:r>
        <w:t>p.b. méně</w:t>
      </w:r>
      <w:proofErr w:type="gramEnd"/>
      <w:r>
        <w:t xml:space="preserve"> než byl průměr EU. </w:t>
      </w:r>
    </w:p>
    <w:p w:rsidR="004B3D6C" w:rsidRDefault="004B3D6C" w:rsidP="004B3D6C">
      <w:pPr>
        <w:pStyle w:val="Nadpis2"/>
      </w:pPr>
      <w:bookmarkStart w:id="51" w:name="_Toc368040317"/>
      <w:r>
        <w:t>Jednotlivci, domácnosti</w:t>
      </w:r>
      <w:bookmarkEnd w:id="51"/>
    </w:p>
    <w:p w:rsidR="001207D2" w:rsidRPr="001207D2" w:rsidRDefault="001207D2" w:rsidP="001207D2"/>
    <w:p w:rsidR="00732099" w:rsidRDefault="00732099" w:rsidP="00FC4A9D">
      <w:pPr>
        <w:pStyle w:val="Titulek"/>
        <w:keepNext/>
        <w:spacing w:line="276" w:lineRule="auto"/>
      </w:pPr>
      <w:r>
        <w:t xml:space="preserve">Graf </w:t>
      </w:r>
      <w:fldSimple w:instr=" SEQ Graf \* ARABIC ">
        <w:r w:rsidR="00A828CC">
          <w:rPr>
            <w:noProof/>
          </w:rPr>
          <w:t>43</w:t>
        </w:r>
      </w:fldSimple>
      <w:r>
        <w:t>:</w:t>
      </w:r>
      <w:r w:rsidRPr="00054D40">
        <w:t xml:space="preserve"> Domácnosti mající přístup k počítači prostřednictvím</w:t>
      </w:r>
      <w:r w:rsidR="004467C3">
        <w:t xml:space="preserve"> alespoň</w:t>
      </w:r>
      <w:r w:rsidRPr="00054D40">
        <w:t xml:space="preserve"> jednoho z členů 2012</w:t>
      </w:r>
    </w:p>
    <w:p w:rsidR="00732099" w:rsidRDefault="00732099" w:rsidP="00FC4A9D">
      <w:pPr>
        <w:spacing w:line="276" w:lineRule="auto"/>
      </w:pPr>
      <w:r w:rsidRPr="00054D40">
        <w:rPr>
          <w:noProof/>
          <w:lang w:eastAsia="cs-CZ"/>
        </w:rPr>
        <w:drawing>
          <wp:inline distT="0" distB="0" distL="0" distR="0">
            <wp:extent cx="5476875" cy="3177098"/>
            <wp:effectExtent l="19050" t="0" r="9525" b="0"/>
            <wp:docPr id="78"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cstate="print"/>
                    <a:srcRect/>
                    <a:stretch>
                      <a:fillRect/>
                    </a:stretch>
                  </pic:blipFill>
                  <pic:spPr bwMode="auto">
                    <a:xfrm>
                      <a:off x="0" y="0"/>
                      <a:ext cx="5475065" cy="3176048"/>
                    </a:xfrm>
                    <a:prstGeom prst="rect">
                      <a:avLst/>
                    </a:prstGeom>
                    <a:noFill/>
                    <a:ln w="9525">
                      <a:noFill/>
                      <a:miter lim="800000"/>
                      <a:headEnd/>
                      <a:tailEnd/>
                    </a:ln>
                  </pic:spPr>
                </pic:pic>
              </a:graphicData>
            </a:graphic>
          </wp:inline>
        </w:drawing>
      </w:r>
    </w:p>
    <w:p w:rsidR="00732099" w:rsidRDefault="00732099" w:rsidP="00FC4A9D">
      <w:pPr>
        <w:spacing w:line="276" w:lineRule="auto"/>
      </w:pPr>
      <w:r>
        <w:t>Zdroj: EUROSTAT</w:t>
      </w:r>
    </w:p>
    <w:p w:rsidR="004467C3" w:rsidRDefault="004467C3" w:rsidP="004B3D6C">
      <w:pPr>
        <w:spacing w:line="360" w:lineRule="auto"/>
      </w:pPr>
      <w:r>
        <w:lastRenderedPageBreak/>
        <w:t xml:space="preserve">ČR stále zaostává za průměrem EU v poměru domácností, které mají alespoň prostřednictvím jednoho svého člena přístup k internetu. V roce 2012 průměr EU činil 78 %, zatímco v ČR 67 %. </w:t>
      </w:r>
      <w:r w:rsidR="0022582E">
        <w:t xml:space="preserve">Tento stav je dán pravděpodobně relativně nižší penetrací internetu na českém venkově. </w:t>
      </w:r>
    </w:p>
    <w:p w:rsidR="00732099" w:rsidRDefault="00732099" w:rsidP="00FC4A9D">
      <w:pPr>
        <w:pStyle w:val="Titulek"/>
        <w:keepNext/>
        <w:spacing w:line="276" w:lineRule="auto"/>
      </w:pPr>
      <w:r>
        <w:t xml:space="preserve">Graf </w:t>
      </w:r>
      <w:fldSimple w:instr=" SEQ Graf \* ARABIC ">
        <w:r w:rsidR="00A828CC">
          <w:rPr>
            <w:noProof/>
          </w:rPr>
          <w:t>44</w:t>
        </w:r>
      </w:fldSimple>
      <w:r>
        <w:t>:</w:t>
      </w:r>
      <w:r w:rsidRPr="003A13C1">
        <w:t xml:space="preserve"> Frekvence využívání počítače: denně 2011</w:t>
      </w:r>
    </w:p>
    <w:p w:rsidR="00732099" w:rsidRDefault="00732099" w:rsidP="00FC4A9D">
      <w:pPr>
        <w:spacing w:line="276" w:lineRule="auto"/>
      </w:pPr>
      <w:r w:rsidRPr="003A13C1">
        <w:rPr>
          <w:noProof/>
          <w:lang w:eastAsia="cs-CZ"/>
        </w:rPr>
        <w:drawing>
          <wp:inline distT="0" distB="0" distL="0" distR="0">
            <wp:extent cx="5760720" cy="3259147"/>
            <wp:effectExtent l="19050" t="0" r="0" b="0"/>
            <wp:docPr id="79"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cstate="print"/>
                    <a:srcRect/>
                    <a:stretch>
                      <a:fillRect/>
                    </a:stretch>
                  </pic:blipFill>
                  <pic:spPr bwMode="auto">
                    <a:xfrm>
                      <a:off x="0" y="0"/>
                      <a:ext cx="5760720" cy="3259147"/>
                    </a:xfrm>
                    <a:prstGeom prst="rect">
                      <a:avLst/>
                    </a:prstGeom>
                    <a:noFill/>
                    <a:ln w="9525">
                      <a:noFill/>
                      <a:miter lim="800000"/>
                      <a:headEnd/>
                      <a:tailEnd/>
                    </a:ln>
                  </pic:spPr>
                </pic:pic>
              </a:graphicData>
            </a:graphic>
          </wp:inline>
        </w:drawing>
      </w:r>
    </w:p>
    <w:p w:rsidR="00732099" w:rsidRDefault="00732099" w:rsidP="00FC4A9D">
      <w:pPr>
        <w:spacing w:line="276" w:lineRule="auto"/>
      </w:pPr>
      <w:r>
        <w:t>Zdroj: EUROSTAT</w:t>
      </w:r>
    </w:p>
    <w:p w:rsidR="00732099" w:rsidRDefault="00732099" w:rsidP="00FC4A9D">
      <w:pPr>
        <w:pStyle w:val="Titulek"/>
        <w:keepNext/>
        <w:spacing w:line="276" w:lineRule="auto"/>
      </w:pPr>
      <w:r>
        <w:t xml:space="preserve">Graf </w:t>
      </w:r>
      <w:fldSimple w:instr=" SEQ Graf \* ARABIC ">
        <w:r w:rsidR="00A828CC">
          <w:rPr>
            <w:noProof/>
          </w:rPr>
          <w:t>45</w:t>
        </w:r>
      </w:fldSimple>
      <w:r>
        <w:t>:</w:t>
      </w:r>
      <w:r w:rsidRPr="003A13C1">
        <w:t xml:space="preserve"> Frekvence využívání počítače: denně 2011</w:t>
      </w:r>
    </w:p>
    <w:p w:rsidR="00732099" w:rsidRDefault="00732099" w:rsidP="00FC4A9D">
      <w:pPr>
        <w:spacing w:line="276" w:lineRule="auto"/>
      </w:pPr>
      <w:r w:rsidRPr="003A13C1">
        <w:rPr>
          <w:noProof/>
          <w:lang w:eastAsia="cs-CZ"/>
        </w:rPr>
        <w:drawing>
          <wp:inline distT="0" distB="0" distL="0" distR="0">
            <wp:extent cx="5667375" cy="3276600"/>
            <wp:effectExtent l="19050" t="0" r="9525" b="0"/>
            <wp:docPr id="80"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cstate="print"/>
                    <a:srcRect/>
                    <a:stretch>
                      <a:fillRect/>
                    </a:stretch>
                  </pic:blipFill>
                  <pic:spPr bwMode="auto">
                    <a:xfrm>
                      <a:off x="0" y="0"/>
                      <a:ext cx="5667375" cy="3276600"/>
                    </a:xfrm>
                    <a:prstGeom prst="rect">
                      <a:avLst/>
                    </a:prstGeom>
                    <a:noFill/>
                    <a:ln w="9525">
                      <a:noFill/>
                      <a:miter lim="800000"/>
                      <a:headEnd/>
                      <a:tailEnd/>
                    </a:ln>
                  </pic:spPr>
                </pic:pic>
              </a:graphicData>
            </a:graphic>
          </wp:inline>
        </w:drawing>
      </w:r>
    </w:p>
    <w:p w:rsidR="00732099" w:rsidRDefault="00732099" w:rsidP="00FC4A9D">
      <w:pPr>
        <w:spacing w:line="276" w:lineRule="auto"/>
      </w:pPr>
      <w:r>
        <w:t>Zdroj: EUROSTAT</w:t>
      </w:r>
    </w:p>
    <w:p w:rsidR="00732099" w:rsidRDefault="00732099" w:rsidP="00FC4A9D">
      <w:pPr>
        <w:spacing w:line="276" w:lineRule="auto"/>
      </w:pPr>
    </w:p>
    <w:p w:rsidR="002A571F" w:rsidRDefault="00732099">
      <w:pPr>
        <w:spacing w:line="360" w:lineRule="auto"/>
      </w:pPr>
      <w:r>
        <w:lastRenderedPageBreak/>
        <w:t xml:space="preserve">V roce 2011 měla ČR o 14 p.b. menší poměr jednotlivců, kteří využívali počítač denně, než byl průměr EU. Dlouhodobý trend od roku 2004 ukazuje, že EU dosahovala </w:t>
      </w:r>
      <w:r w:rsidR="00225DD0">
        <w:t>rychlejšího</w:t>
      </w:r>
      <w:r>
        <w:t>nav</w:t>
      </w:r>
      <w:r w:rsidR="00225DD0">
        <w:t>yšování</w:t>
      </w:r>
      <w:r>
        <w:t xml:space="preserve"> tohoto procenta než ČR. EU i ČR mají relativně konstantní nárůst procenta od roku 2004 do roku 2011. Procento jednotlivců využívající počítače denně v ČR se od roku 2004 do roku 2011 zvýšilo o 22 p.b., což je o 3 p.b. méně než v EU. </w:t>
      </w:r>
    </w:p>
    <w:p w:rsidR="002A571F" w:rsidRDefault="002A571F">
      <w:pPr>
        <w:spacing w:line="360" w:lineRule="auto"/>
      </w:pPr>
    </w:p>
    <w:p w:rsidR="00732099" w:rsidRDefault="00732099" w:rsidP="00FC4A9D">
      <w:pPr>
        <w:pStyle w:val="Titulek"/>
        <w:keepNext/>
        <w:spacing w:line="276" w:lineRule="auto"/>
      </w:pPr>
      <w:r>
        <w:t xml:space="preserve">Graf </w:t>
      </w:r>
      <w:fldSimple w:instr=" SEQ Graf \* ARABIC ">
        <w:r w:rsidR="00A828CC">
          <w:rPr>
            <w:noProof/>
          </w:rPr>
          <w:t>46</w:t>
        </w:r>
      </w:fldSimple>
      <w:r>
        <w:t>:</w:t>
      </w:r>
      <w:r w:rsidRPr="003A13C1">
        <w:t xml:space="preserve"> Používání počítače: nikdy</w:t>
      </w:r>
    </w:p>
    <w:p w:rsidR="00732099" w:rsidRDefault="00732099" w:rsidP="00FC4A9D">
      <w:pPr>
        <w:spacing w:line="276" w:lineRule="auto"/>
      </w:pPr>
      <w:r w:rsidRPr="003A13C1">
        <w:rPr>
          <w:noProof/>
          <w:lang w:eastAsia="cs-CZ"/>
        </w:rPr>
        <w:drawing>
          <wp:inline distT="0" distB="0" distL="0" distR="0">
            <wp:extent cx="5760720" cy="3315579"/>
            <wp:effectExtent l="19050" t="0" r="0" b="0"/>
            <wp:docPr id="81"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cstate="print"/>
                    <a:srcRect/>
                    <a:stretch>
                      <a:fillRect/>
                    </a:stretch>
                  </pic:blipFill>
                  <pic:spPr bwMode="auto">
                    <a:xfrm>
                      <a:off x="0" y="0"/>
                      <a:ext cx="5760720" cy="3315579"/>
                    </a:xfrm>
                    <a:prstGeom prst="rect">
                      <a:avLst/>
                    </a:prstGeom>
                    <a:noFill/>
                    <a:ln w="9525">
                      <a:noFill/>
                      <a:miter lim="800000"/>
                      <a:headEnd/>
                      <a:tailEnd/>
                    </a:ln>
                  </pic:spPr>
                </pic:pic>
              </a:graphicData>
            </a:graphic>
          </wp:inline>
        </w:drawing>
      </w:r>
    </w:p>
    <w:p w:rsidR="00732099" w:rsidRDefault="00732099" w:rsidP="00FC4A9D">
      <w:pPr>
        <w:spacing w:line="276" w:lineRule="auto"/>
      </w:pPr>
      <w:r>
        <w:t>Zdroj: EUROSTAT</w:t>
      </w:r>
    </w:p>
    <w:p w:rsidR="004B3D6C" w:rsidRDefault="004B3D6C" w:rsidP="00FC4A9D">
      <w:pPr>
        <w:spacing w:line="276" w:lineRule="auto"/>
      </w:pPr>
    </w:p>
    <w:p w:rsidR="00732099" w:rsidRDefault="00732099" w:rsidP="00FC4A9D">
      <w:pPr>
        <w:pStyle w:val="Titulek"/>
        <w:keepNext/>
        <w:spacing w:line="276" w:lineRule="auto"/>
      </w:pPr>
      <w:r>
        <w:lastRenderedPageBreak/>
        <w:t xml:space="preserve">Graf </w:t>
      </w:r>
      <w:fldSimple w:instr=" SEQ Graf \* ARABIC ">
        <w:r w:rsidR="00A828CC">
          <w:rPr>
            <w:noProof/>
          </w:rPr>
          <w:t>47</w:t>
        </w:r>
      </w:fldSimple>
      <w:r>
        <w:t>:</w:t>
      </w:r>
      <w:r w:rsidRPr="003A13C1">
        <w:t xml:space="preserve"> Používání počítače: nikdy</w:t>
      </w:r>
      <w:r>
        <w:t xml:space="preserve"> (2005 – 2012)</w:t>
      </w:r>
    </w:p>
    <w:p w:rsidR="00732099" w:rsidRDefault="00732099" w:rsidP="00FC4A9D">
      <w:pPr>
        <w:spacing w:line="276" w:lineRule="auto"/>
      </w:pPr>
      <w:r w:rsidRPr="003A13C1">
        <w:rPr>
          <w:noProof/>
          <w:lang w:eastAsia="cs-CZ"/>
        </w:rPr>
        <w:drawing>
          <wp:inline distT="0" distB="0" distL="0" distR="0">
            <wp:extent cx="5734050" cy="3286125"/>
            <wp:effectExtent l="19050" t="0" r="0" b="0"/>
            <wp:docPr id="82"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cstate="print"/>
                    <a:srcRect/>
                    <a:stretch>
                      <a:fillRect/>
                    </a:stretch>
                  </pic:blipFill>
                  <pic:spPr bwMode="auto">
                    <a:xfrm>
                      <a:off x="0" y="0"/>
                      <a:ext cx="5734050" cy="3286125"/>
                    </a:xfrm>
                    <a:prstGeom prst="rect">
                      <a:avLst/>
                    </a:prstGeom>
                    <a:noFill/>
                    <a:ln w="9525">
                      <a:noFill/>
                      <a:miter lim="800000"/>
                      <a:headEnd/>
                      <a:tailEnd/>
                    </a:ln>
                  </pic:spPr>
                </pic:pic>
              </a:graphicData>
            </a:graphic>
          </wp:inline>
        </w:drawing>
      </w:r>
    </w:p>
    <w:p w:rsidR="00732099" w:rsidRDefault="00732099" w:rsidP="00FC4A9D">
      <w:pPr>
        <w:spacing w:line="276" w:lineRule="auto"/>
      </w:pPr>
      <w:r>
        <w:t>Zdroj: EUROSTAT</w:t>
      </w:r>
    </w:p>
    <w:p w:rsidR="00732099" w:rsidRDefault="00732099" w:rsidP="00FC4A9D">
      <w:pPr>
        <w:spacing w:line="276" w:lineRule="auto"/>
      </w:pPr>
    </w:p>
    <w:p w:rsidR="002A571F" w:rsidRDefault="00732099">
      <w:pPr>
        <w:spacing w:line="360" w:lineRule="auto"/>
      </w:pPr>
      <w:r>
        <w:t xml:space="preserve">EU má o 3 p.b. vyšší poměr jednotlivců, kteří nikdy nepožívají počítač ve srovnání s ČR. Dlouhodobý trend od roku 2005 ukazuje na pokles procenta jednotlivců, kteří nepoužívají počítač v ČR i v EU Zatímco však v roce 2005 bylo v ČR procento lidí, kteří nikdy nepoužívali počítač výrazně vyšší než v EU (63 % vs. 43 %), tak v roce 2012 již bylo v ČR toto procento naopak nižší než v EU (19 % vs. 22 %).  Procento jednotlivců, kteří nikdy nepoužívají počítač se od roku 2005 do roku 2012 v ČR snížilo o 44 p.b., což je o 23 p.b. více než v EU. </w:t>
      </w:r>
    </w:p>
    <w:p w:rsidR="00732099" w:rsidRDefault="00732099" w:rsidP="00FC4A9D">
      <w:pPr>
        <w:pStyle w:val="Titulek"/>
        <w:keepNext/>
        <w:spacing w:line="276" w:lineRule="auto"/>
      </w:pPr>
      <w:bookmarkStart w:id="52" w:name="_Ref367953390"/>
      <w:r>
        <w:lastRenderedPageBreak/>
        <w:t xml:space="preserve">Graf </w:t>
      </w:r>
      <w:fldSimple w:instr=" SEQ Graf \* ARABIC ">
        <w:r w:rsidR="00A828CC">
          <w:rPr>
            <w:noProof/>
          </w:rPr>
          <w:t>48</w:t>
        </w:r>
      </w:fldSimple>
      <w:bookmarkEnd w:id="52"/>
      <w:r>
        <w:t>:</w:t>
      </w:r>
      <w:r w:rsidRPr="003A13C1">
        <w:t xml:space="preserve"> Využívání internetu: jednou týdně (včetně využívání každý den) 2012</w:t>
      </w:r>
    </w:p>
    <w:p w:rsidR="00732099" w:rsidRDefault="00732099" w:rsidP="00FC4A9D">
      <w:pPr>
        <w:spacing w:line="276" w:lineRule="auto"/>
      </w:pPr>
      <w:r w:rsidRPr="003A13C1">
        <w:rPr>
          <w:noProof/>
          <w:lang w:eastAsia="cs-CZ"/>
        </w:rPr>
        <w:drawing>
          <wp:inline distT="0" distB="0" distL="0" distR="0">
            <wp:extent cx="5760720" cy="2916315"/>
            <wp:effectExtent l="19050" t="0" r="0" b="0"/>
            <wp:docPr id="83"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cstate="print"/>
                    <a:srcRect/>
                    <a:stretch>
                      <a:fillRect/>
                    </a:stretch>
                  </pic:blipFill>
                  <pic:spPr bwMode="auto">
                    <a:xfrm>
                      <a:off x="0" y="0"/>
                      <a:ext cx="5760720" cy="2916315"/>
                    </a:xfrm>
                    <a:prstGeom prst="rect">
                      <a:avLst/>
                    </a:prstGeom>
                    <a:noFill/>
                    <a:ln w="9525">
                      <a:noFill/>
                      <a:miter lim="800000"/>
                      <a:headEnd/>
                      <a:tailEnd/>
                    </a:ln>
                  </pic:spPr>
                </pic:pic>
              </a:graphicData>
            </a:graphic>
          </wp:inline>
        </w:drawing>
      </w:r>
    </w:p>
    <w:p w:rsidR="00732099" w:rsidRDefault="00732099" w:rsidP="00FC4A9D">
      <w:pPr>
        <w:spacing w:line="276" w:lineRule="auto"/>
      </w:pPr>
      <w:r>
        <w:t>Zdroj: EUROSTAT</w:t>
      </w:r>
    </w:p>
    <w:p w:rsidR="00732099" w:rsidRDefault="00732099" w:rsidP="00FC4A9D">
      <w:pPr>
        <w:spacing w:line="276" w:lineRule="auto"/>
      </w:pPr>
    </w:p>
    <w:p w:rsidR="00732099" w:rsidRDefault="00732099" w:rsidP="00FC4A9D">
      <w:pPr>
        <w:pStyle w:val="Titulek"/>
        <w:keepNext/>
        <w:spacing w:line="276" w:lineRule="auto"/>
      </w:pPr>
      <w:r>
        <w:t xml:space="preserve">Graf </w:t>
      </w:r>
      <w:fldSimple w:instr=" SEQ Graf \* ARABIC ">
        <w:r w:rsidR="00A828CC">
          <w:rPr>
            <w:noProof/>
          </w:rPr>
          <w:t>49</w:t>
        </w:r>
      </w:fldSimple>
      <w:r>
        <w:t>:</w:t>
      </w:r>
      <w:r w:rsidRPr="003A13C1">
        <w:t xml:space="preserve"> Využívání internetu: jednou týdně (včetně využívání každý den) </w:t>
      </w:r>
      <w:r>
        <w:t xml:space="preserve">2004 - </w:t>
      </w:r>
      <w:r w:rsidRPr="003A13C1">
        <w:t>2012</w:t>
      </w:r>
    </w:p>
    <w:p w:rsidR="00732099" w:rsidRDefault="00732099" w:rsidP="00FC4A9D">
      <w:pPr>
        <w:spacing w:line="276" w:lineRule="auto"/>
      </w:pPr>
      <w:r w:rsidRPr="003A13C1">
        <w:rPr>
          <w:noProof/>
          <w:lang w:eastAsia="cs-CZ"/>
        </w:rPr>
        <w:drawing>
          <wp:inline distT="0" distB="0" distL="0" distR="0">
            <wp:extent cx="5760720" cy="3315763"/>
            <wp:effectExtent l="19050" t="0" r="0" b="0"/>
            <wp:docPr id="84"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1" cstate="print"/>
                    <a:srcRect/>
                    <a:stretch>
                      <a:fillRect/>
                    </a:stretch>
                  </pic:blipFill>
                  <pic:spPr bwMode="auto">
                    <a:xfrm>
                      <a:off x="0" y="0"/>
                      <a:ext cx="5760720" cy="3315763"/>
                    </a:xfrm>
                    <a:prstGeom prst="rect">
                      <a:avLst/>
                    </a:prstGeom>
                    <a:noFill/>
                    <a:ln w="9525">
                      <a:noFill/>
                      <a:miter lim="800000"/>
                      <a:headEnd/>
                      <a:tailEnd/>
                    </a:ln>
                  </pic:spPr>
                </pic:pic>
              </a:graphicData>
            </a:graphic>
          </wp:inline>
        </w:drawing>
      </w:r>
    </w:p>
    <w:p w:rsidR="00794F64" w:rsidRDefault="00732099" w:rsidP="00FC4A9D">
      <w:pPr>
        <w:spacing w:line="276" w:lineRule="auto"/>
      </w:pPr>
      <w:r>
        <w:t>Zdroj: EUROSTAT</w:t>
      </w:r>
    </w:p>
    <w:p w:rsidR="001207D2" w:rsidRDefault="001207D2" w:rsidP="00FC4A9D">
      <w:pPr>
        <w:spacing w:line="276" w:lineRule="auto"/>
      </w:pPr>
    </w:p>
    <w:p w:rsidR="002A571F" w:rsidRDefault="00732099">
      <w:pPr>
        <w:spacing w:line="360" w:lineRule="auto"/>
      </w:pPr>
      <w:r>
        <w:t xml:space="preserve">Procento jednotlivců v ČR využívající internet minimálně jednou týdně (včetně využívání každý den) bylo v roce 2012 66 %, což je o 4 p.b.  nižší poměr oproti EU. Dlouhodobý trend od roku 2004 ukazuje téměř konstantní navyšování procenta jednotlivců v EU i v ČR. Procento </w:t>
      </w:r>
      <w:r>
        <w:lastRenderedPageBreak/>
        <w:t xml:space="preserve">jednotlivců v ČR, kteří využívají internet minimálně jednou týdně se od roku 2004 do roku 2012 zvýšilo o 41 p.b., což je o 7 p.b. více než v EU. </w:t>
      </w:r>
    </w:p>
    <w:p w:rsidR="00732099" w:rsidRDefault="00732099" w:rsidP="00FC4A9D">
      <w:pPr>
        <w:pStyle w:val="Titulek"/>
        <w:keepNext/>
        <w:spacing w:line="276" w:lineRule="auto"/>
      </w:pPr>
      <w:r>
        <w:t xml:space="preserve">Graf </w:t>
      </w:r>
      <w:fldSimple w:instr=" SEQ Graf \* ARABIC ">
        <w:r w:rsidR="00A828CC">
          <w:rPr>
            <w:noProof/>
          </w:rPr>
          <w:t>50</w:t>
        </w:r>
      </w:fldSimple>
      <w:r>
        <w:t>:</w:t>
      </w:r>
      <w:r w:rsidRPr="003A13C1">
        <w:t xml:space="preserve"> Využívání internetu jednotlivci k jednání s orgány veřejné správy 2010</w:t>
      </w:r>
    </w:p>
    <w:p w:rsidR="00732099" w:rsidRDefault="00732099" w:rsidP="00FC4A9D">
      <w:pPr>
        <w:spacing w:line="276" w:lineRule="auto"/>
      </w:pPr>
      <w:r w:rsidRPr="003A13C1">
        <w:rPr>
          <w:noProof/>
          <w:lang w:eastAsia="cs-CZ"/>
        </w:rPr>
        <w:drawing>
          <wp:inline distT="0" distB="0" distL="0" distR="0">
            <wp:extent cx="5505450" cy="3057668"/>
            <wp:effectExtent l="19050" t="0" r="0" b="0"/>
            <wp:docPr id="85"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 cstate="print"/>
                    <a:srcRect/>
                    <a:stretch>
                      <a:fillRect/>
                    </a:stretch>
                  </pic:blipFill>
                  <pic:spPr bwMode="auto">
                    <a:xfrm>
                      <a:off x="0" y="0"/>
                      <a:ext cx="5507746" cy="3058943"/>
                    </a:xfrm>
                    <a:prstGeom prst="rect">
                      <a:avLst/>
                    </a:prstGeom>
                    <a:noFill/>
                    <a:ln w="9525">
                      <a:noFill/>
                      <a:miter lim="800000"/>
                      <a:headEnd/>
                      <a:tailEnd/>
                    </a:ln>
                  </pic:spPr>
                </pic:pic>
              </a:graphicData>
            </a:graphic>
          </wp:inline>
        </w:drawing>
      </w:r>
    </w:p>
    <w:p w:rsidR="007D7DFC" w:rsidRDefault="00732099" w:rsidP="00FC4A9D">
      <w:pPr>
        <w:spacing w:line="276" w:lineRule="auto"/>
      </w:pPr>
      <w:r>
        <w:t>Zdroj: EUROSTAT</w:t>
      </w:r>
    </w:p>
    <w:p w:rsidR="001207D2" w:rsidRDefault="001207D2" w:rsidP="00FC4A9D">
      <w:pPr>
        <w:spacing w:line="276" w:lineRule="auto"/>
      </w:pPr>
    </w:p>
    <w:p w:rsidR="00732099" w:rsidRDefault="00732099" w:rsidP="00FC4A9D">
      <w:pPr>
        <w:pStyle w:val="Titulek"/>
        <w:keepNext/>
        <w:spacing w:line="276" w:lineRule="auto"/>
      </w:pPr>
      <w:r>
        <w:t xml:space="preserve">Graf </w:t>
      </w:r>
      <w:fldSimple w:instr=" SEQ Graf \* ARABIC ">
        <w:r w:rsidR="00A828CC">
          <w:rPr>
            <w:noProof/>
          </w:rPr>
          <w:t>51</w:t>
        </w:r>
      </w:fldSimple>
      <w:r>
        <w:t>:</w:t>
      </w:r>
      <w:r w:rsidRPr="003A13C1">
        <w:t xml:space="preserve"> Využívání internetu jednotlivci k jednání s orgány veřejné správy </w:t>
      </w:r>
      <w:r>
        <w:t xml:space="preserve">(2005 – </w:t>
      </w:r>
      <w:r w:rsidRPr="003A13C1">
        <w:t>2010</w:t>
      </w:r>
      <w:r>
        <w:t>)</w:t>
      </w:r>
    </w:p>
    <w:p w:rsidR="00732099" w:rsidRDefault="00732099" w:rsidP="00FC4A9D">
      <w:pPr>
        <w:spacing w:line="276" w:lineRule="auto"/>
      </w:pPr>
      <w:r w:rsidRPr="003A13C1">
        <w:rPr>
          <w:noProof/>
          <w:lang w:eastAsia="cs-CZ"/>
        </w:rPr>
        <w:drawing>
          <wp:inline distT="0" distB="0" distL="0" distR="0">
            <wp:extent cx="5391150" cy="3074293"/>
            <wp:effectExtent l="19050" t="0" r="0" b="0"/>
            <wp:docPr id="86"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cstate="print"/>
                    <a:srcRect/>
                    <a:stretch>
                      <a:fillRect/>
                    </a:stretch>
                  </pic:blipFill>
                  <pic:spPr bwMode="auto">
                    <a:xfrm>
                      <a:off x="0" y="0"/>
                      <a:ext cx="5389772" cy="3073507"/>
                    </a:xfrm>
                    <a:prstGeom prst="rect">
                      <a:avLst/>
                    </a:prstGeom>
                    <a:noFill/>
                    <a:ln w="9525">
                      <a:noFill/>
                      <a:miter lim="800000"/>
                      <a:headEnd/>
                      <a:tailEnd/>
                    </a:ln>
                  </pic:spPr>
                </pic:pic>
              </a:graphicData>
            </a:graphic>
          </wp:inline>
        </w:drawing>
      </w:r>
    </w:p>
    <w:p w:rsidR="00732099" w:rsidRDefault="00732099" w:rsidP="00FC4A9D">
      <w:pPr>
        <w:spacing w:line="276" w:lineRule="auto"/>
      </w:pPr>
      <w:r>
        <w:t>Zdroj: EUROSTAT</w:t>
      </w:r>
    </w:p>
    <w:p w:rsidR="001207D2" w:rsidRDefault="001207D2">
      <w:pPr>
        <w:spacing w:line="360" w:lineRule="auto"/>
      </w:pPr>
    </w:p>
    <w:p w:rsidR="002A571F" w:rsidRDefault="00732099">
      <w:pPr>
        <w:spacing w:line="360" w:lineRule="auto"/>
      </w:pPr>
      <w:r>
        <w:lastRenderedPageBreak/>
        <w:t xml:space="preserve">V roce 2010 měla ČR o 15 p.b. menší poměr jednotlivců ve srovnání s EU, kteří využívali internet k jednání s orgány veřejné správy. Dlouhodobý trend od roku 2005 ukazuje, že </w:t>
      </w:r>
      <w:r w:rsidR="00225DD0">
        <w:t xml:space="preserve">v </w:t>
      </w:r>
      <w:r>
        <w:t xml:space="preserve">EU </w:t>
      </w:r>
      <w:r w:rsidR="00225DD0">
        <w:t xml:space="preserve">roste </w:t>
      </w:r>
      <w:r>
        <w:t>poměr jednotlivců využívající</w:t>
      </w:r>
      <w:r w:rsidR="00225DD0">
        <w:t>ch</w:t>
      </w:r>
      <w:r>
        <w:t xml:space="preserve"> internet k jednání s orgány veřejné správy </w:t>
      </w:r>
      <w:r w:rsidR="00225DD0">
        <w:t>rychleji než v</w:t>
      </w:r>
      <w:r>
        <w:t xml:space="preserve"> ČR. EU má celkem konstantní nárůst jednotlivců, v tomto kritériu oproti celkem nebalančním</w:t>
      </w:r>
      <w:r w:rsidR="005A0603">
        <w:t>u</w:t>
      </w:r>
      <w:r>
        <w:t xml:space="preserve"> růstu jednotlivců v ČR. Celkově má EU vyšší nárůst i </w:t>
      </w:r>
      <w:r w:rsidR="005A0603">
        <w:t xml:space="preserve">celkový </w:t>
      </w:r>
      <w:r>
        <w:t xml:space="preserve">poměr jednotlivců, kteří využívají internet k jednání s orgány veřejné správy. Poměr jednotlivců, kteří využívají internet k jednání s orgány veřejné správy, se od roku 2005 do roku 2010 zvýšil v ČR o 12 </w:t>
      </w:r>
      <w:proofErr w:type="gramStart"/>
      <w:r>
        <w:t>p.b., zatímco</w:t>
      </w:r>
      <w:proofErr w:type="gramEnd"/>
      <w:r>
        <w:t xml:space="preserve"> v EU pouze o 9 </w:t>
      </w:r>
      <w:proofErr w:type="spellStart"/>
      <w:r>
        <w:t>p.b</w:t>
      </w:r>
      <w:proofErr w:type="spellEnd"/>
      <w:r>
        <w:t>.</w:t>
      </w:r>
    </w:p>
    <w:p w:rsidR="00671442" w:rsidRDefault="00671442">
      <w:pPr>
        <w:spacing w:line="360" w:lineRule="auto"/>
      </w:pPr>
    </w:p>
    <w:p w:rsidR="00732099" w:rsidRDefault="00732099" w:rsidP="00FC4A9D">
      <w:pPr>
        <w:pStyle w:val="Titulek"/>
        <w:keepNext/>
        <w:spacing w:line="276" w:lineRule="auto"/>
      </w:pPr>
      <w:r>
        <w:t xml:space="preserve">Graf </w:t>
      </w:r>
      <w:fldSimple w:instr=" SEQ Graf \* ARABIC ">
        <w:r w:rsidR="00A828CC">
          <w:rPr>
            <w:noProof/>
          </w:rPr>
          <w:t>52</w:t>
        </w:r>
      </w:fldSimple>
      <w:r>
        <w:t>:</w:t>
      </w:r>
      <w:r w:rsidRPr="00E11C33">
        <w:t xml:space="preserve"> Využití internetu: Internetové bankovnictví 2012</w:t>
      </w:r>
    </w:p>
    <w:p w:rsidR="00732099" w:rsidRDefault="00732099" w:rsidP="00FC4A9D">
      <w:pPr>
        <w:spacing w:line="276" w:lineRule="auto"/>
      </w:pPr>
      <w:r w:rsidRPr="00E11C33">
        <w:rPr>
          <w:noProof/>
          <w:lang w:eastAsia="cs-CZ"/>
        </w:rPr>
        <w:drawing>
          <wp:inline distT="0" distB="0" distL="0" distR="0">
            <wp:extent cx="5760720" cy="3273333"/>
            <wp:effectExtent l="19050" t="0" r="0" b="0"/>
            <wp:docPr id="89"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cstate="print"/>
                    <a:srcRect/>
                    <a:stretch>
                      <a:fillRect/>
                    </a:stretch>
                  </pic:blipFill>
                  <pic:spPr bwMode="auto">
                    <a:xfrm>
                      <a:off x="0" y="0"/>
                      <a:ext cx="5760720" cy="3273333"/>
                    </a:xfrm>
                    <a:prstGeom prst="rect">
                      <a:avLst/>
                    </a:prstGeom>
                    <a:noFill/>
                    <a:ln w="9525">
                      <a:noFill/>
                      <a:miter lim="800000"/>
                      <a:headEnd/>
                      <a:tailEnd/>
                    </a:ln>
                  </pic:spPr>
                </pic:pic>
              </a:graphicData>
            </a:graphic>
          </wp:inline>
        </w:drawing>
      </w:r>
    </w:p>
    <w:p w:rsidR="00732099" w:rsidRDefault="00732099" w:rsidP="00FC4A9D">
      <w:pPr>
        <w:spacing w:line="276" w:lineRule="auto"/>
      </w:pPr>
      <w:r>
        <w:t>Zdroj: EUROSTAT</w:t>
      </w:r>
    </w:p>
    <w:p w:rsidR="00732099" w:rsidRDefault="00732099" w:rsidP="00FC4A9D">
      <w:pPr>
        <w:pStyle w:val="Titulek"/>
        <w:keepNext/>
        <w:spacing w:line="276" w:lineRule="auto"/>
      </w:pPr>
      <w:r>
        <w:lastRenderedPageBreak/>
        <w:t xml:space="preserve">Graf </w:t>
      </w:r>
      <w:fldSimple w:instr=" SEQ Graf \* ARABIC ">
        <w:r w:rsidR="00A828CC">
          <w:rPr>
            <w:noProof/>
          </w:rPr>
          <w:t>53</w:t>
        </w:r>
      </w:fldSimple>
      <w:r>
        <w:t>:</w:t>
      </w:r>
      <w:r w:rsidRPr="00E11C33">
        <w:t xml:space="preserve"> Využití internetu: Internetové bankovnictví </w:t>
      </w:r>
      <w:r>
        <w:t xml:space="preserve">(2004 – </w:t>
      </w:r>
      <w:r w:rsidRPr="00E11C33">
        <w:t>2012</w:t>
      </w:r>
      <w:r>
        <w:t>)</w:t>
      </w:r>
      <w:r w:rsidRPr="00E11C33">
        <w:t xml:space="preserve">  </w:t>
      </w:r>
    </w:p>
    <w:p w:rsidR="00732099" w:rsidRDefault="00732099" w:rsidP="00FC4A9D">
      <w:pPr>
        <w:spacing w:line="276" w:lineRule="auto"/>
      </w:pPr>
      <w:r w:rsidRPr="00E11C33">
        <w:rPr>
          <w:noProof/>
          <w:lang w:eastAsia="cs-CZ"/>
        </w:rPr>
        <w:drawing>
          <wp:inline distT="0" distB="0" distL="0" distR="0">
            <wp:extent cx="5760720" cy="3347445"/>
            <wp:effectExtent l="19050" t="0" r="0" b="0"/>
            <wp:docPr id="103"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5" cstate="print"/>
                    <a:srcRect/>
                    <a:stretch>
                      <a:fillRect/>
                    </a:stretch>
                  </pic:blipFill>
                  <pic:spPr bwMode="auto">
                    <a:xfrm>
                      <a:off x="0" y="0"/>
                      <a:ext cx="5760720" cy="3347445"/>
                    </a:xfrm>
                    <a:prstGeom prst="rect">
                      <a:avLst/>
                    </a:prstGeom>
                    <a:noFill/>
                    <a:ln w="9525">
                      <a:noFill/>
                      <a:miter lim="800000"/>
                      <a:headEnd/>
                      <a:tailEnd/>
                    </a:ln>
                  </pic:spPr>
                </pic:pic>
              </a:graphicData>
            </a:graphic>
          </wp:inline>
        </w:drawing>
      </w:r>
    </w:p>
    <w:p w:rsidR="00732099" w:rsidRDefault="00732099" w:rsidP="00FC4A9D">
      <w:pPr>
        <w:spacing w:line="276" w:lineRule="auto"/>
      </w:pPr>
      <w:r>
        <w:t>Zdroj: EUROSTAT</w:t>
      </w:r>
    </w:p>
    <w:p w:rsidR="00732099" w:rsidRDefault="00732099" w:rsidP="00FC4A9D">
      <w:pPr>
        <w:spacing w:line="276" w:lineRule="auto"/>
      </w:pPr>
    </w:p>
    <w:p w:rsidR="002A571F" w:rsidRDefault="00732099">
      <w:pPr>
        <w:spacing w:line="360" w:lineRule="auto"/>
      </w:pPr>
      <w:r w:rsidRPr="00F95E49">
        <w:t xml:space="preserve">Na tomto sloupcovém grafu je vidět, že </w:t>
      </w:r>
      <w:r>
        <w:t xml:space="preserve">měla </w:t>
      </w:r>
      <w:r w:rsidRPr="00F95E49">
        <w:t>ČR</w:t>
      </w:r>
      <w:r>
        <w:t xml:space="preserve"> v roce 2012 34 % jednotlivců, kteří využívali internetové bankovnictví, což je o 6 p.b.  menší poměr než průměr EU. </w:t>
      </w:r>
      <w:r w:rsidRPr="00EA4C5D">
        <w:t>ČR i EU maj</w:t>
      </w:r>
      <w:r>
        <w:t>í celkem konstantní růst poměru jednotlivců</w:t>
      </w:r>
      <w:r w:rsidRPr="00EA4C5D">
        <w:t xml:space="preserve">, </w:t>
      </w:r>
      <w:r>
        <w:t>kteří používají internetové bankovnictví</w:t>
      </w:r>
      <w:r w:rsidRPr="00EA4C5D">
        <w:t xml:space="preserve">. ČR má celkově </w:t>
      </w:r>
      <w:r w:rsidR="005A0603">
        <w:t xml:space="preserve">v </w:t>
      </w:r>
      <w:r w:rsidRPr="00EA4C5D">
        <w:t xml:space="preserve">dlouhodobém </w:t>
      </w:r>
      <w:r>
        <w:t xml:space="preserve">trendu od roku 2004 do roku 2012 </w:t>
      </w:r>
      <w:r w:rsidR="005A0603">
        <w:t xml:space="preserve">pomalejší růst poměru </w:t>
      </w:r>
      <w:r>
        <w:t>jednotlivců</w:t>
      </w:r>
      <w:r w:rsidRPr="00EA4C5D">
        <w:t xml:space="preserve">, </w:t>
      </w:r>
      <w:r>
        <w:t xml:space="preserve">kteří používají internetové bankovnictví. Procento jednotlivců, kteří využívají internet k internetovému bankovnictví v ČR se od roku 2004 do roku 2012 zvýšilo o 29 p.b., což je o 5 p.b. více než v EU. </w:t>
      </w:r>
    </w:p>
    <w:p w:rsidR="00732099" w:rsidRDefault="00732099" w:rsidP="00FC4A9D">
      <w:pPr>
        <w:pStyle w:val="Titulek"/>
        <w:keepNext/>
        <w:spacing w:line="276" w:lineRule="auto"/>
      </w:pPr>
      <w:r>
        <w:lastRenderedPageBreak/>
        <w:t xml:space="preserve">Graf </w:t>
      </w:r>
      <w:fldSimple w:instr=" SEQ Graf \* ARABIC ">
        <w:r w:rsidR="00A828CC">
          <w:rPr>
            <w:noProof/>
          </w:rPr>
          <w:t>54</w:t>
        </w:r>
      </w:fldSimple>
      <w:r>
        <w:t>:</w:t>
      </w:r>
      <w:r w:rsidRPr="00E11C33">
        <w:t xml:space="preserve"> Poslední online nákup: v posledních 3 měsících 2012</w:t>
      </w:r>
    </w:p>
    <w:p w:rsidR="00732099" w:rsidRDefault="00732099" w:rsidP="00FC4A9D">
      <w:pPr>
        <w:spacing w:line="276" w:lineRule="auto"/>
      </w:pPr>
      <w:r w:rsidRPr="00E11C33">
        <w:rPr>
          <w:noProof/>
          <w:lang w:eastAsia="cs-CZ"/>
        </w:rPr>
        <w:drawing>
          <wp:inline distT="0" distB="0" distL="0" distR="0">
            <wp:extent cx="5760720" cy="3318041"/>
            <wp:effectExtent l="19050" t="0" r="0" b="0"/>
            <wp:docPr id="104"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6" cstate="print"/>
                    <a:srcRect/>
                    <a:stretch>
                      <a:fillRect/>
                    </a:stretch>
                  </pic:blipFill>
                  <pic:spPr bwMode="auto">
                    <a:xfrm>
                      <a:off x="0" y="0"/>
                      <a:ext cx="5760720" cy="3318041"/>
                    </a:xfrm>
                    <a:prstGeom prst="rect">
                      <a:avLst/>
                    </a:prstGeom>
                    <a:noFill/>
                    <a:ln w="9525">
                      <a:noFill/>
                      <a:miter lim="800000"/>
                      <a:headEnd/>
                      <a:tailEnd/>
                    </a:ln>
                  </pic:spPr>
                </pic:pic>
              </a:graphicData>
            </a:graphic>
          </wp:inline>
        </w:drawing>
      </w:r>
    </w:p>
    <w:p w:rsidR="00732099" w:rsidRDefault="00732099" w:rsidP="00FC4A9D">
      <w:pPr>
        <w:spacing w:line="276" w:lineRule="auto"/>
      </w:pPr>
      <w:r>
        <w:t>Zdroj: EUROSTAT</w:t>
      </w:r>
    </w:p>
    <w:p w:rsidR="001207D2" w:rsidRDefault="001207D2" w:rsidP="00FC4A9D">
      <w:pPr>
        <w:spacing w:line="276" w:lineRule="auto"/>
      </w:pPr>
    </w:p>
    <w:p w:rsidR="00732099" w:rsidRDefault="00732099" w:rsidP="00FC4A9D">
      <w:pPr>
        <w:pStyle w:val="Titulek"/>
        <w:keepNext/>
        <w:spacing w:line="276" w:lineRule="auto"/>
      </w:pPr>
      <w:r>
        <w:t xml:space="preserve">Graf </w:t>
      </w:r>
      <w:fldSimple w:instr=" SEQ Graf \* ARABIC ">
        <w:r w:rsidR="00A828CC">
          <w:rPr>
            <w:noProof/>
          </w:rPr>
          <w:t>55</w:t>
        </w:r>
      </w:fldSimple>
      <w:r>
        <w:t xml:space="preserve">: </w:t>
      </w:r>
      <w:r w:rsidRPr="00E23D3B">
        <w:t xml:space="preserve">Poslední online nákup: v posledních 3 měsících </w:t>
      </w:r>
      <w:r>
        <w:t xml:space="preserve">(2004 - </w:t>
      </w:r>
      <w:r w:rsidRPr="00E23D3B">
        <w:t>2012</w:t>
      </w:r>
      <w:r>
        <w:t>)</w:t>
      </w:r>
    </w:p>
    <w:p w:rsidR="00732099" w:rsidRDefault="00732099" w:rsidP="00FC4A9D">
      <w:pPr>
        <w:spacing w:line="276" w:lineRule="auto"/>
      </w:pPr>
      <w:r w:rsidRPr="00E11C33">
        <w:rPr>
          <w:noProof/>
          <w:lang w:eastAsia="cs-CZ"/>
        </w:rPr>
        <w:drawing>
          <wp:inline distT="0" distB="0" distL="0" distR="0">
            <wp:extent cx="5760720" cy="2984469"/>
            <wp:effectExtent l="19050" t="0" r="0" b="0"/>
            <wp:docPr id="105"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7" cstate="print"/>
                    <a:srcRect/>
                    <a:stretch>
                      <a:fillRect/>
                    </a:stretch>
                  </pic:blipFill>
                  <pic:spPr bwMode="auto">
                    <a:xfrm>
                      <a:off x="0" y="0"/>
                      <a:ext cx="5760720" cy="2984469"/>
                    </a:xfrm>
                    <a:prstGeom prst="rect">
                      <a:avLst/>
                    </a:prstGeom>
                    <a:noFill/>
                    <a:ln w="9525">
                      <a:noFill/>
                      <a:miter lim="800000"/>
                      <a:headEnd/>
                      <a:tailEnd/>
                    </a:ln>
                  </pic:spPr>
                </pic:pic>
              </a:graphicData>
            </a:graphic>
          </wp:inline>
        </w:drawing>
      </w:r>
    </w:p>
    <w:p w:rsidR="00732099" w:rsidRDefault="00732099" w:rsidP="00FC4A9D">
      <w:pPr>
        <w:spacing w:line="276" w:lineRule="auto"/>
      </w:pPr>
      <w:r>
        <w:t>Zdroj: EUROSTAT</w:t>
      </w:r>
    </w:p>
    <w:p w:rsidR="00732099" w:rsidRDefault="00732099" w:rsidP="00FC4A9D">
      <w:pPr>
        <w:spacing w:line="276" w:lineRule="auto"/>
      </w:pPr>
    </w:p>
    <w:p w:rsidR="002A571F" w:rsidRDefault="00732099">
      <w:pPr>
        <w:spacing w:line="360" w:lineRule="auto"/>
      </w:pPr>
      <w:r>
        <w:t>Graf ukazuje, že v ČR mělo v roce 2012 18 % jednotlivců poslední online nákup v posledních 3 měsících. Zatímco v EU toto procento činí 35 %. Dlouhodobý trend ukazuje relativně konstantní nav</w:t>
      </w:r>
      <w:r w:rsidR="00CB6967">
        <w:t>yšování</w:t>
      </w:r>
      <w:r>
        <w:t xml:space="preserve"> procenta jednotlivců v tomto kritériu v EU i v ČR. Procento jednotlivců, kteří měli </w:t>
      </w:r>
      <w:r>
        <w:lastRenderedPageBreak/>
        <w:t xml:space="preserve">poslední online nákup v posledních 3 měsících v ČR se od roku 2004 do roku 2012 zvýšilo o 15 p.b., což je o 5 p.b. méně než v EU. </w:t>
      </w:r>
    </w:p>
    <w:p w:rsidR="00732099" w:rsidRDefault="00732099" w:rsidP="00FC4A9D">
      <w:pPr>
        <w:pStyle w:val="Titulek"/>
        <w:keepNext/>
        <w:spacing w:line="276" w:lineRule="auto"/>
      </w:pPr>
      <w:bookmarkStart w:id="53" w:name="_Ref367953549"/>
      <w:r>
        <w:t xml:space="preserve">Graf </w:t>
      </w:r>
      <w:fldSimple w:instr=" SEQ Graf \* ARABIC ">
        <w:r w:rsidR="00A828CC">
          <w:rPr>
            <w:noProof/>
          </w:rPr>
          <w:t>56</w:t>
        </w:r>
      </w:fldSimple>
      <w:bookmarkEnd w:id="53"/>
      <w:r>
        <w:t>:</w:t>
      </w:r>
      <w:r w:rsidRPr="00955371">
        <w:t xml:space="preserve"> Internetové pokrytí -domácnosti 2012</w:t>
      </w:r>
    </w:p>
    <w:p w:rsidR="00732099" w:rsidRDefault="00732099" w:rsidP="00FC4A9D">
      <w:pPr>
        <w:spacing w:line="276" w:lineRule="auto"/>
      </w:pPr>
      <w:r w:rsidRPr="00955371">
        <w:rPr>
          <w:noProof/>
          <w:lang w:eastAsia="cs-CZ"/>
        </w:rPr>
        <w:drawing>
          <wp:inline distT="0" distB="0" distL="0" distR="0">
            <wp:extent cx="5760720" cy="2976233"/>
            <wp:effectExtent l="19050" t="0" r="0" b="0"/>
            <wp:docPr id="106"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8" cstate="print"/>
                    <a:srcRect/>
                    <a:stretch>
                      <a:fillRect/>
                    </a:stretch>
                  </pic:blipFill>
                  <pic:spPr bwMode="auto">
                    <a:xfrm>
                      <a:off x="0" y="0"/>
                      <a:ext cx="5760720" cy="2976233"/>
                    </a:xfrm>
                    <a:prstGeom prst="rect">
                      <a:avLst/>
                    </a:prstGeom>
                    <a:noFill/>
                    <a:ln w="9525">
                      <a:noFill/>
                      <a:miter lim="800000"/>
                      <a:headEnd/>
                      <a:tailEnd/>
                    </a:ln>
                  </pic:spPr>
                </pic:pic>
              </a:graphicData>
            </a:graphic>
          </wp:inline>
        </w:drawing>
      </w:r>
    </w:p>
    <w:p w:rsidR="00732099" w:rsidRDefault="00732099" w:rsidP="00FC4A9D">
      <w:pPr>
        <w:spacing w:line="276" w:lineRule="auto"/>
      </w:pPr>
      <w:r>
        <w:t>Zdroj: EUROSTAT</w:t>
      </w:r>
    </w:p>
    <w:p w:rsidR="001207D2" w:rsidRDefault="001207D2" w:rsidP="00FC4A9D">
      <w:pPr>
        <w:spacing w:line="276" w:lineRule="auto"/>
      </w:pPr>
    </w:p>
    <w:p w:rsidR="00732099" w:rsidRDefault="00732099" w:rsidP="00FC4A9D">
      <w:pPr>
        <w:pStyle w:val="Titulek"/>
        <w:keepNext/>
        <w:spacing w:line="276" w:lineRule="auto"/>
      </w:pPr>
      <w:r>
        <w:t xml:space="preserve">Graf </w:t>
      </w:r>
      <w:fldSimple w:instr=" SEQ Graf \* ARABIC ">
        <w:r w:rsidR="00A828CC">
          <w:rPr>
            <w:noProof/>
          </w:rPr>
          <w:t>57</w:t>
        </w:r>
      </w:fldSimple>
      <w:r>
        <w:t>:</w:t>
      </w:r>
      <w:r w:rsidRPr="00955371">
        <w:t xml:space="preserve"> Internetové pokrytí </w:t>
      </w:r>
      <w:r>
        <w:t>–</w:t>
      </w:r>
      <w:r w:rsidR="00794F64">
        <w:t xml:space="preserve"> </w:t>
      </w:r>
      <w:r w:rsidRPr="00955371">
        <w:t>domácnosti</w:t>
      </w:r>
      <w:r>
        <w:t xml:space="preserve"> (2004 – 2012)</w:t>
      </w:r>
    </w:p>
    <w:p w:rsidR="00732099" w:rsidRDefault="00732099" w:rsidP="00FC4A9D">
      <w:pPr>
        <w:spacing w:line="276" w:lineRule="auto"/>
      </w:pPr>
      <w:r w:rsidRPr="00955371">
        <w:rPr>
          <w:noProof/>
          <w:lang w:eastAsia="cs-CZ"/>
        </w:rPr>
        <w:drawing>
          <wp:inline distT="0" distB="0" distL="0" distR="0">
            <wp:extent cx="5760720" cy="3214060"/>
            <wp:effectExtent l="19050" t="0" r="0" b="0"/>
            <wp:docPr id="107"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9" cstate="print"/>
                    <a:srcRect/>
                    <a:stretch>
                      <a:fillRect/>
                    </a:stretch>
                  </pic:blipFill>
                  <pic:spPr bwMode="auto">
                    <a:xfrm>
                      <a:off x="0" y="0"/>
                      <a:ext cx="5760720" cy="3214060"/>
                    </a:xfrm>
                    <a:prstGeom prst="rect">
                      <a:avLst/>
                    </a:prstGeom>
                    <a:noFill/>
                    <a:ln w="9525">
                      <a:noFill/>
                      <a:miter lim="800000"/>
                      <a:headEnd/>
                      <a:tailEnd/>
                    </a:ln>
                  </pic:spPr>
                </pic:pic>
              </a:graphicData>
            </a:graphic>
          </wp:inline>
        </w:drawing>
      </w:r>
    </w:p>
    <w:p w:rsidR="00732099" w:rsidRPr="00955371" w:rsidRDefault="00732099" w:rsidP="00FC4A9D">
      <w:pPr>
        <w:spacing w:line="276" w:lineRule="auto"/>
      </w:pPr>
      <w:r>
        <w:t>Zdroj: EUROSTAT</w:t>
      </w:r>
    </w:p>
    <w:p w:rsidR="00732099" w:rsidRDefault="00732099" w:rsidP="00FC4A9D">
      <w:pPr>
        <w:spacing w:line="276" w:lineRule="auto"/>
      </w:pPr>
    </w:p>
    <w:p w:rsidR="00732099" w:rsidRDefault="00732099" w:rsidP="00FC4A9D">
      <w:pPr>
        <w:spacing w:line="276" w:lineRule="auto"/>
      </w:pPr>
    </w:p>
    <w:p w:rsidR="002A571F" w:rsidRDefault="00732099">
      <w:pPr>
        <w:spacing w:line="360" w:lineRule="auto"/>
      </w:pPr>
      <w:r>
        <w:lastRenderedPageBreak/>
        <w:t>Internetové pokrytí domácnost</w:t>
      </w:r>
      <w:r w:rsidR="00066476">
        <w:t>í</w:t>
      </w:r>
      <w:r>
        <w:t xml:space="preserve"> pro rok 2012 ukazuje, že ČR měla 65 % domácností s internetovým pokrytím, což je o 11 p.b. méně než v EU. Dlouhodobý trend od roku 2004 do roku 2012 ukazuje relativně konstantní růst internetového pokrytí domácností, nicméně celkově má ČR menší procento domácností, které mají internetové pokrytí. Procento domácností, které mají internetové pokrytí v ČR se od roku 2004 do roku 2012 zvýšilo o 46 p.b., což je o 11 p.b. více než v EU.</w:t>
      </w:r>
    </w:p>
    <w:p w:rsidR="00732099" w:rsidRDefault="00732099" w:rsidP="00FC4A9D">
      <w:pPr>
        <w:pStyle w:val="Titulek"/>
        <w:keepNext/>
        <w:spacing w:line="276" w:lineRule="auto"/>
      </w:pPr>
      <w:r>
        <w:t xml:space="preserve">Graf </w:t>
      </w:r>
      <w:fldSimple w:instr=" SEQ Graf \* ARABIC ">
        <w:r w:rsidR="00A828CC">
          <w:rPr>
            <w:noProof/>
          </w:rPr>
          <w:t>58</w:t>
        </w:r>
      </w:fldSimple>
      <w:r>
        <w:t>:</w:t>
      </w:r>
      <w:r w:rsidRPr="004503F3">
        <w:t xml:space="preserve"> Internetové pokrytí - jednotlivci 2011</w:t>
      </w:r>
    </w:p>
    <w:p w:rsidR="00732099" w:rsidRDefault="00732099" w:rsidP="00FC4A9D">
      <w:pPr>
        <w:spacing w:line="276" w:lineRule="auto"/>
      </w:pPr>
      <w:r w:rsidRPr="004503F3">
        <w:rPr>
          <w:noProof/>
          <w:lang w:eastAsia="cs-CZ"/>
        </w:rPr>
        <w:drawing>
          <wp:inline distT="0" distB="0" distL="0" distR="0">
            <wp:extent cx="5760720" cy="2919925"/>
            <wp:effectExtent l="19050" t="0" r="0" b="0"/>
            <wp:docPr id="108"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0" cstate="print"/>
                    <a:srcRect/>
                    <a:stretch>
                      <a:fillRect/>
                    </a:stretch>
                  </pic:blipFill>
                  <pic:spPr bwMode="auto">
                    <a:xfrm>
                      <a:off x="0" y="0"/>
                      <a:ext cx="5760720" cy="2919925"/>
                    </a:xfrm>
                    <a:prstGeom prst="rect">
                      <a:avLst/>
                    </a:prstGeom>
                    <a:noFill/>
                    <a:ln w="9525">
                      <a:noFill/>
                      <a:miter lim="800000"/>
                      <a:headEnd/>
                      <a:tailEnd/>
                    </a:ln>
                  </pic:spPr>
                </pic:pic>
              </a:graphicData>
            </a:graphic>
          </wp:inline>
        </w:drawing>
      </w:r>
    </w:p>
    <w:p w:rsidR="00732099" w:rsidRDefault="00732099" w:rsidP="00FC4A9D">
      <w:pPr>
        <w:spacing w:line="276" w:lineRule="auto"/>
      </w:pPr>
      <w:r>
        <w:t>Zdroj: EUROSTAT</w:t>
      </w:r>
    </w:p>
    <w:p w:rsidR="00732099" w:rsidRDefault="00732099" w:rsidP="00FC4A9D">
      <w:pPr>
        <w:spacing w:line="276" w:lineRule="auto"/>
      </w:pPr>
    </w:p>
    <w:p w:rsidR="00732099" w:rsidRDefault="00732099" w:rsidP="00FC4A9D">
      <w:pPr>
        <w:pStyle w:val="Titulek"/>
        <w:keepNext/>
        <w:spacing w:line="276" w:lineRule="auto"/>
      </w:pPr>
      <w:r>
        <w:lastRenderedPageBreak/>
        <w:t xml:space="preserve">Graf </w:t>
      </w:r>
      <w:fldSimple w:instr=" SEQ Graf \* ARABIC ">
        <w:r w:rsidR="00A828CC">
          <w:rPr>
            <w:noProof/>
          </w:rPr>
          <w:t>59</w:t>
        </w:r>
      </w:fldSimple>
      <w:r>
        <w:t>:</w:t>
      </w:r>
      <w:r w:rsidRPr="004503F3">
        <w:t xml:space="preserve"> Internetové pokrytí </w:t>
      </w:r>
      <w:r>
        <w:t>–</w:t>
      </w:r>
      <w:r w:rsidRPr="004503F3">
        <w:t xml:space="preserve"> jednotlivci</w:t>
      </w:r>
      <w:r>
        <w:t xml:space="preserve"> (2004 – 2011)</w:t>
      </w:r>
    </w:p>
    <w:p w:rsidR="00732099" w:rsidRDefault="00732099" w:rsidP="00FC4A9D">
      <w:pPr>
        <w:spacing w:line="276" w:lineRule="auto"/>
        <w:rPr>
          <w:b/>
          <w:sz w:val="28"/>
          <w:szCs w:val="28"/>
        </w:rPr>
      </w:pPr>
      <w:r w:rsidRPr="004503F3">
        <w:rPr>
          <w:noProof/>
          <w:szCs w:val="28"/>
          <w:lang w:eastAsia="cs-CZ"/>
        </w:rPr>
        <w:drawing>
          <wp:inline distT="0" distB="0" distL="0" distR="0">
            <wp:extent cx="5760720" cy="3414383"/>
            <wp:effectExtent l="19050" t="0" r="0" b="0"/>
            <wp:docPr id="109"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1" cstate="print"/>
                    <a:srcRect/>
                    <a:stretch>
                      <a:fillRect/>
                    </a:stretch>
                  </pic:blipFill>
                  <pic:spPr bwMode="auto">
                    <a:xfrm>
                      <a:off x="0" y="0"/>
                      <a:ext cx="5760720" cy="3414383"/>
                    </a:xfrm>
                    <a:prstGeom prst="rect">
                      <a:avLst/>
                    </a:prstGeom>
                    <a:noFill/>
                    <a:ln w="9525">
                      <a:noFill/>
                      <a:miter lim="800000"/>
                      <a:headEnd/>
                      <a:tailEnd/>
                    </a:ln>
                  </pic:spPr>
                </pic:pic>
              </a:graphicData>
            </a:graphic>
          </wp:inline>
        </w:drawing>
      </w:r>
    </w:p>
    <w:p w:rsidR="00732099" w:rsidRDefault="00732099" w:rsidP="00FC4A9D">
      <w:pPr>
        <w:spacing w:line="276" w:lineRule="auto"/>
      </w:pPr>
      <w:r>
        <w:t>Zdroj: EUROSTAT</w:t>
      </w:r>
    </w:p>
    <w:p w:rsidR="001207D2" w:rsidRDefault="001207D2">
      <w:pPr>
        <w:spacing w:line="360" w:lineRule="auto"/>
      </w:pPr>
    </w:p>
    <w:p w:rsidR="002A571F" w:rsidRDefault="00732099">
      <w:pPr>
        <w:spacing w:line="360" w:lineRule="auto"/>
      </w:pPr>
      <w:r>
        <w:t>Internetové pokrytí jednotlivců pro rok 2011</w:t>
      </w:r>
      <w:r w:rsidRPr="00275ED1">
        <w:t xml:space="preserve"> </w:t>
      </w:r>
      <w:r>
        <w:t>ukazuje, že ČR měla 66 % jednotlivců</w:t>
      </w:r>
      <w:r w:rsidRPr="00275ED1">
        <w:t xml:space="preserve"> s internetovým pokrytím, což</w:t>
      </w:r>
      <w:r>
        <w:t xml:space="preserve"> je o </w:t>
      </w:r>
      <w:r w:rsidRPr="00275ED1">
        <w:t>1</w:t>
      </w:r>
      <w:r>
        <w:t xml:space="preserve"> p.b.</w:t>
      </w:r>
      <w:r w:rsidRPr="00275ED1">
        <w:t xml:space="preserve"> méně než v EU. Dlouhodobý</w:t>
      </w:r>
      <w:r>
        <w:t xml:space="preserve"> trend od roku 2004 do roku 2011</w:t>
      </w:r>
      <w:r w:rsidRPr="00275ED1">
        <w:t xml:space="preserve"> ukazuje </w:t>
      </w:r>
      <w:r>
        <w:t>téměř</w:t>
      </w:r>
      <w:r w:rsidRPr="00275ED1">
        <w:t xml:space="preserve"> konstantní růst </w:t>
      </w:r>
      <w:r>
        <w:t>internetového pokrytí</w:t>
      </w:r>
      <w:r w:rsidRPr="00275ED1">
        <w:t>, nicméně celkov</w:t>
      </w:r>
      <w:r>
        <w:t>ě má ČR nižší poměr jednotlivců</w:t>
      </w:r>
      <w:r w:rsidRPr="00275ED1">
        <w:t>, kte</w:t>
      </w:r>
      <w:r w:rsidR="00CB6967">
        <w:t>ří</w:t>
      </w:r>
      <w:r w:rsidRPr="00275ED1">
        <w:t xml:space="preserve"> mají in</w:t>
      </w:r>
      <w:r>
        <w:t>ternetové pokrytí.  Poměr jednotlivců s internetovým pokrytím v ČR se od roku 2004 do roku 2011 zvýšil o 46 p.b., což je o 12 p.b. více než v EU.</w:t>
      </w:r>
    </w:p>
    <w:p w:rsidR="00732099" w:rsidRDefault="00732099" w:rsidP="00FC4A9D">
      <w:pPr>
        <w:spacing w:line="276" w:lineRule="auto"/>
      </w:pPr>
    </w:p>
    <w:p w:rsidR="00732099" w:rsidRDefault="00732099" w:rsidP="00FC4A9D">
      <w:pPr>
        <w:spacing w:line="276" w:lineRule="auto"/>
      </w:pPr>
    </w:p>
    <w:p w:rsidR="00732099" w:rsidRDefault="00732099" w:rsidP="00FC4A9D">
      <w:pPr>
        <w:spacing w:before="0" w:after="0" w:line="276" w:lineRule="auto"/>
        <w:jc w:val="left"/>
      </w:pPr>
    </w:p>
    <w:p w:rsidR="00672E0D" w:rsidRDefault="00992905" w:rsidP="00AD29D5">
      <w:pPr>
        <w:spacing w:before="0" w:after="0" w:line="276" w:lineRule="auto"/>
        <w:jc w:val="left"/>
      </w:pPr>
      <w:r>
        <w:br w:type="page"/>
      </w:r>
    </w:p>
    <w:p w:rsidR="006732A5" w:rsidRDefault="006732A5" w:rsidP="006732A5">
      <w:pPr>
        <w:pStyle w:val="Nadpis1"/>
        <w:numPr>
          <w:ilvl w:val="0"/>
          <w:numId w:val="1"/>
        </w:numPr>
        <w:spacing w:line="360" w:lineRule="auto"/>
      </w:pPr>
      <w:bookmarkStart w:id="54" w:name="_Toc368040318"/>
      <w:r>
        <w:lastRenderedPageBreak/>
        <w:t>Literatura</w:t>
      </w:r>
      <w:bookmarkEnd w:id="54"/>
    </w:p>
    <w:p w:rsidR="006732A5" w:rsidRDefault="006732A5" w:rsidP="006732A5">
      <w:pPr>
        <w:spacing w:line="360" w:lineRule="auto"/>
        <w:rPr>
          <w:i/>
        </w:rPr>
      </w:pPr>
      <w:r>
        <w:t xml:space="preserve">Brown, B., Chui, M., Manyika, J. (2011): Are you ready for the era of big data?, </w:t>
      </w:r>
      <w:r>
        <w:rPr>
          <w:i/>
        </w:rPr>
        <w:t>McKinsey Quarterly Number 4</w:t>
      </w:r>
    </w:p>
    <w:p w:rsidR="006732A5" w:rsidRPr="000C022D" w:rsidRDefault="006732A5" w:rsidP="006732A5">
      <w:pPr>
        <w:spacing w:line="360" w:lineRule="auto"/>
      </w:pPr>
      <w:r>
        <w:t xml:space="preserve">Brynjolfsson, E., Hitt, L. M., Kim, H. H. (2011): Strength in numbers: How does data-driven decisionmking affect firm performance?, </w:t>
      </w:r>
      <w:r>
        <w:rPr>
          <w:i/>
        </w:rPr>
        <w:t>Social Science Research Network</w:t>
      </w:r>
    </w:p>
    <w:p w:rsidR="006732A5" w:rsidRDefault="006732A5" w:rsidP="006732A5">
      <w:pPr>
        <w:spacing w:line="360" w:lineRule="auto"/>
        <w:rPr>
          <w:i/>
        </w:rPr>
      </w:pPr>
      <w:r>
        <w:t xml:space="preserve">Cattaneo, G., Kolding, M., Lifonti, R., Hüsing, T., Korte, W.B. (2009): Anticipating The Development of The Supply and Demand of e-skills in Europe 2010-2015; </w:t>
      </w:r>
      <w:r w:rsidRPr="005D4F93">
        <w:rPr>
          <w:i/>
        </w:rPr>
        <w:t>Empirica, IDC Government Insights-</w:t>
      </w:r>
      <w:r>
        <w:t xml:space="preserve"> </w:t>
      </w:r>
      <w:r>
        <w:rPr>
          <w:i/>
        </w:rPr>
        <w:t xml:space="preserve">připraveno pro </w:t>
      </w:r>
      <w:r w:rsidRPr="00C93913">
        <w:rPr>
          <w:i/>
        </w:rPr>
        <w:t>European Commission DG ENTR</w:t>
      </w:r>
      <w:r>
        <w:rPr>
          <w:i/>
        </w:rPr>
        <w:t xml:space="preserve"> a</w:t>
      </w:r>
      <w:r w:rsidRPr="00C93913">
        <w:rPr>
          <w:i/>
        </w:rPr>
        <w:t xml:space="preserve"> European e-skills Forum</w:t>
      </w:r>
      <w:r>
        <w:rPr>
          <w:i/>
        </w:rPr>
        <w:t xml:space="preserve"> </w:t>
      </w:r>
    </w:p>
    <w:p w:rsidR="00BE1E62" w:rsidRPr="00BE1E62" w:rsidRDefault="00BE1E62" w:rsidP="00BE1E62">
      <w:pPr>
        <w:spacing w:line="360" w:lineRule="auto"/>
      </w:pPr>
      <w:r>
        <w:t>Český telekomunikační úřad (2012): Informace o vývoji</w:t>
      </w:r>
      <w:r w:rsidR="00177F43">
        <w:t xml:space="preserve"> trhu elektro</w:t>
      </w:r>
      <w:r w:rsidR="00B938CB">
        <w:t xml:space="preserve">nických komunikací se zaměřením na rok 2011 </w:t>
      </w:r>
      <w:r>
        <w:t>a vybrané ukazatele prvního pololetí 2012</w:t>
      </w:r>
    </w:p>
    <w:p w:rsidR="006732A5" w:rsidRDefault="006732A5" w:rsidP="006732A5">
      <w:pPr>
        <w:spacing w:line="360" w:lineRule="auto"/>
        <w:rPr>
          <w:i/>
        </w:rPr>
      </w:pPr>
      <w:r>
        <w:t xml:space="preserve">Deighton, J., Quelch, J. (2009): Economic Value of the Advertising- Supported Internet Ecosystem; </w:t>
      </w:r>
      <w:r w:rsidRPr="00895EFF">
        <w:rPr>
          <w:i/>
        </w:rPr>
        <w:t>Internet Advertising Bureau</w:t>
      </w:r>
    </w:p>
    <w:p w:rsidR="000A6A6F" w:rsidRPr="000A6A6F" w:rsidRDefault="000A6A6F" w:rsidP="006732A5">
      <w:pPr>
        <w:spacing w:line="360" w:lineRule="auto"/>
        <w:rPr>
          <w:i/>
        </w:rPr>
      </w:pPr>
      <w:r>
        <w:t xml:space="preserve">Gartner (2013): Gartner’s hype cycle for emerging technologies, </w:t>
      </w:r>
      <w:r>
        <w:rPr>
          <w:i/>
        </w:rPr>
        <w:t>Gartner</w:t>
      </w:r>
    </w:p>
    <w:p w:rsidR="006732A5" w:rsidRPr="00905D93" w:rsidRDefault="006732A5" w:rsidP="006732A5">
      <w:pPr>
        <w:spacing w:line="360" w:lineRule="auto"/>
        <w:rPr>
          <w:i/>
        </w:rPr>
      </w:pPr>
      <w:r>
        <w:t xml:space="preserve">Hylmar, J. (2011): ICT monopoly ve veřejné správě, Průvodce měření efektivity výdajů státu za informační a komunikační technologie, </w:t>
      </w:r>
      <w:r>
        <w:rPr>
          <w:i/>
        </w:rPr>
        <w:t>OptiKom.cz, s.r.o.</w:t>
      </w:r>
    </w:p>
    <w:p w:rsidR="006732A5" w:rsidRDefault="006732A5" w:rsidP="006732A5">
      <w:pPr>
        <w:pStyle w:val="Bibliografie"/>
        <w:rPr>
          <w:rFonts w:cs="Calibri"/>
        </w:rPr>
      </w:pPr>
      <w:r w:rsidRPr="00FE3DA1">
        <w:rPr>
          <w:rFonts w:cs="Calibri"/>
        </w:rPr>
        <w:t xml:space="preserve">Národní ekonomická rada vlády, 2011. </w:t>
      </w:r>
      <w:r w:rsidRPr="00FE3DA1">
        <w:rPr>
          <w:rFonts w:cs="Calibri"/>
          <w:i/>
          <w:iCs/>
        </w:rPr>
        <w:t>Rámec strategie konkurenceschopnosti</w:t>
      </w:r>
      <w:r>
        <w:rPr>
          <w:rFonts w:cs="Calibri"/>
        </w:rPr>
        <w:t>, Polygrafie ÚVČR. Dostupné na</w:t>
      </w:r>
      <w:r w:rsidRPr="00FE3DA1">
        <w:rPr>
          <w:rFonts w:cs="Calibri"/>
        </w:rPr>
        <w:t xml:space="preserve">: </w:t>
      </w:r>
      <w:hyperlink r:id="rId82" w:history="1">
        <w:r w:rsidRPr="0017128B">
          <w:rPr>
            <w:rStyle w:val="Hypertextovodkaz"/>
            <w:rFonts w:cs="Calibri"/>
          </w:rPr>
          <w:t>http://www.vlada.cz/cz/media-centrum/aktualne/nerv-ramec-strategie-konkurenceschopnosti-82538/</w:t>
        </w:r>
      </w:hyperlink>
      <w:r w:rsidRPr="00FE3DA1">
        <w:rPr>
          <w:rFonts w:cs="Calibri"/>
        </w:rPr>
        <w:t>.</w:t>
      </w:r>
    </w:p>
    <w:p w:rsidR="006732A5" w:rsidRPr="000A2229" w:rsidRDefault="006732A5" w:rsidP="006732A5">
      <w:pPr>
        <w:rPr>
          <w:lang w:val="en-US"/>
        </w:rPr>
      </w:pPr>
      <w:r>
        <w:t xml:space="preserve">Rausas, M.P., Manyika, J., Hazan, E., Bughin, J., Chui, M., Said, R., 2011: Internet matters: The Net’s sweeping impact on growth, jobs, and prosperity. </w:t>
      </w:r>
      <w:r w:rsidRPr="000A2229">
        <w:rPr>
          <w:i/>
        </w:rPr>
        <w:t>McKinsey Global Institute</w:t>
      </w:r>
    </w:p>
    <w:p w:rsidR="006732A5" w:rsidRPr="00B47F8C" w:rsidRDefault="006732A5" w:rsidP="006732A5">
      <w:pPr>
        <w:pStyle w:val="Bibliografie"/>
        <w:rPr>
          <w:rFonts w:cs="Calibri"/>
        </w:rPr>
      </w:pPr>
      <w:r w:rsidRPr="00FE3DA1">
        <w:rPr>
          <w:rFonts w:cs="Calibri"/>
        </w:rPr>
        <w:t xml:space="preserve">Sala-i-Martin, X. et al., 2010. The Global Competitiveness Index 2010–2011: Looking Beyond the Global Economic Crisis. </w:t>
      </w:r>
      <w:r w:rsidRPr="00FE3DA1">
        <w:rPr>
          <w:rFonts w:cs="Calibri"/>
          <w:i/>
          <w:iCs/>
        </w:rPr>
        <w:t>The Global Competitiveness Report 2010-2011</w:t>
      </w:r>
      <w:r w:rsidRPr="00FE3DA1">
        <w:rPr>
          <w:rFonts w:cs="Calibri"/>
        </w:rPr>
        <w:t>.</w:t>
      </w:r>
    </w:p>
    <w:p w:rsidR="006732A5" w:rsidRDefault="006732A5" w:rsidP="006732A5">
      <w:pPr>
        <w:spacing w:line="360" w:lineRule="auto"/>
        <w:rPr>
          <w:i/>
        </w:rPr>
      </w:pPr>
      <w:r>
        <w:t xml:space="preserve">Soumitra, D., Bilbao-Osorio, B., Geiger, T. (2012): </w:t>
      </w:r>
      <w:r w:rsidRPr="00C55766">
        <w:t>The Networked Readiness Index 2012: Benchmarking ICT Progress and Impacts for the Next Decade</w:t>
      </w:r>
      <w:r>
        <w:t xml:space="preserve">; </w:t>
      </w:r>
      <w:r>
        <w:rPr>
          <w:i/>
        </w:rPr>
        <w:t>Světové ekonomické fórum- The Global Information Technology Report 2012</w:t>
      </w:r>
    </w:p>
    <w:p w:rsidR="006732A5" w:rsidRDefault="006732A5" w:rsidP="006732A5">
      <w:pPr>
        <w:spacing w:line="360" w:lineRule="auto"/>
        <w:rPr>
          <w:i/>
        </w:rPr>
      </w:pPr>
      <w:r>
        <w:t xml:space="preserve">Červenka, L., Kálovec, M., Šabata, O. (2011): Země internetová; jak internet mění českou ekonomiku; </w:t>
      </w:r>
      <w:r>
        <w:rPr>
          <w:i/>
        </w:rPr>
        <w:t>The Boston Consulting Group</w:t>
      </w:r>
    </w:p>
    <w:p w:rsidR="00672E0D" w:rsidRDefault="00672E0D" w:rsidP="006732A5">
      <w:pPr>
        <w:spacing w:line="276" w:lineRule="auto"/>
      </w:pPr>
    </w:p>
    <w:p w:rsidR="00AD29D5" w:rsidRDefault="00AD29D5" w:rsidP="006732A5">
      <w:pPr>
        <w:spacing w:line="276" w:lineRule="auto"/>
      </w:pPr>
    </w:p>
    <w:p w:rsidR="00AD29D5" w:rsidRDefault="00AD29D5" w:rsidP="006732A5">
      <w:pPr>
        <w:spacing w:line="276" w:lineRule="auto"/>
      </w:pPr>
    </w:p>
    <w:p w:rsidR="00AD29D5" w:rsidRDefault="00AD29D5" w:rsidP="006732A5">
      <w:pPr>
        <w:spacing w:line="276" w:lineRule="auto"/>
      </w:pPr>
    </w:p>
    <w:p w:rsidR="00AD29D5" w:rsidRDefault="00AD29D5" w:rsidP="006732A5">
      <w:pPr>
        <w:spacing w:line="276" w:lineRule="auto"/>
      </w:pPr>
    </w:p>
    <w:p w:rsidR="00AD29D5" w:rsidRDefault="00690A78" w:rsidP="00690A78">
      <w:pPr>
        <w:pStyle w:val="Nadpis1"/>
      </w:pPr>
      <w:bookmarkStart w:id="55" w:name="_Toc368040319"/>
      <w:r>
        <w:lastRenderedPageBreak/>
        <w:t>Zdroje dat</w:t>
      </w:r>
      <w:bookmarkEnd w:id="55"/>
    </w:p>
    <w:p w:rsidR="00CF6076" w:rsidRPr="00CF6076" w:rsidRDefault="00CF6076" w:rsidP="00CF6076"/>
    <w:p w:rsidR="00690A78" w:rsidRDefault="00CF6076" w:rsidP="00690A78">
      <w:r>
        <w:t>Eurostat</w:t>
      </w:r>
    </w:p>
    <w:p w:rsidR="00CF6076" w:rsidRDefault="00CF6076" w:rsidP="00690A78">
      <w:r>
        <w:t>Český statistický úřad</w:t>
      </w:r>
    </w:p>
    <w:p w:rsidR="00CF6076" w:rsidRDefault="00CF6076" w:rsidP="00690A78">
      <w:r>
        <w:t>Ipsos</w:t>
      </w:r>
      <w:r w:rsidR="00526082">
        <w:t xml:space="preserve"> MORI</w:t>
      </w:r>
    </w:p>
    <w:p w:rsidR="00526082" w:rsidRDefault="00526082" w:rsidP="00690A78">
      <w:r>
        <w:t>NetMonitor</w:t>
      </w:r>
    </w:p>
    <w:p w:rsidR="00526082" w:rsidRDefault="00526082" w:rsidP="00690A78">
      <w:r>
        <w:t>MEDIARESEARCH</w:t>
      </w:r>
    </w:p>
    <w:p w:rsidR="00526082" w:rsidRDefault="00526082" w:rsidP="00690A78">
      <w:r>
        <w:t>Sdružení pro internetovou reklamu</w:t>
      </w:r>
    </w:p>
    <w:p w:rsidR="00BE1E62" w:rsidRDefault="00BE1E62" w:rsidP="00690A78">
      <w:r>
        <w:t>Lupa.cz</w:t>
      </w:r>
    </w:p>
    <w:p w:rsidR="00CF6076" w:rsidRDefault="00CF6076" w:rsidP="00690A78"/>
    <w:p w:rsidR="00CF6076" w:rsidRDefault="00CF6076" w:rsidP="00690A78"/>
    <w:p w:rsidR="00690A78" w:rsidRDefault="00690A78" w:rsidP="00690A78"/>
    <w:p w:rsidR="00690A78" w:rsidRDefault="00690A78" w:rsidP="00690A78"/>
    <w:p w:rsidR="00690A78" w:rsidRDefault="00690A78" w:rsidP="00690A78"/>
    <w:p w:rsidR="00690A78" w:rsidRPr="00690A78" w:rsidRDefault="00690A78" w:rsidP="00690A78"/>
    <w:sectPr w:rsidR="00690A78" w:rsidRPr="00690A78" w:rsidSect="00D1597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5AE1" w:rsidRDefault="00E85AE1" w:rsidP="00A47ED4">
      <w:pPr>
        <w:spacing w:before="0" w:after="0"/>
      </w:pPr>
      <w:r>
        <w:separator/>
      </w:r>
    </w:p>
  </w:endnote>
  <w:endnote w:type="continuationSeparator" w:id="0">
    <w:p w:rsidR="00E85AE1" w:rsidRDefault="00E85AE1" w:rsidP="00A47ED4">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979" w:rsidRDefault="00CE7979" w:rsidP="009F7487">
    <w:pPr>
      <w:pStyle w:val="Zpat"/>
    </w:pPr>
  </w:p>
  <w:p w:rsidR="00CE7979" w:rsidRDefault="00CE7979">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52041"/>
      <w:docPartObj>
        <w:docPartGallery w:val="Page Numbers (Bottom of Page)"/>
        <w:docPartUnique/>
      </w:docPartObj>
    </w:sdtPr>
    <w:sdtContent>
      <w:p w:rsidR="00CE7979" w:rsidRDefault="00CE7979">
        <w:pPr>
          <w:pStyle w:val="Zpat"/>
          <w:jc w:val="center"/>
        </w:pPr>
        <w:fldSimple w:instr=" PAGE   \* MERGEFORMAT ">
          <w:r w:rsidR="00671442">
            <w:rPr>
              <w:noProof/>
            </w:rPr>
            <w:t>67</w:t>
          </w:r>
        </w:fldSimple>
      </w:p>
    </w:sdtContent>
  </w:sdt>
  <w:p w:rsidR="00CE7979" w:rsidRDefault="00CE7979">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5AE1" w:rsidRDefault="00E85AE1" w:rsidP="00A47ED4">
      <w:pPr>
        <w:spacing w:before="0" w:after="0"/>
      </w:pPr>
      <w:r>
        <w:separator/>
      </w:r>
    </w:p>
  </w:footnote>
  <w:footnote w:type="continuationSeparator" w:id="0">
    <w:p w:rsidR="00E85AE1" w:rsidRDefault="00E85AE1" w:rsidP="00A47ED4">
      <w:pPr>
        <w:spacing w:before="0" w:after="0"/>
      </w:pPr>
      <w:r>
        <w:continuationSeparator/>
      </w:r>
    </w:p>
  </w:footnote>
  <w:footnote w:id="1">
    <w:p w:rsidR="00CE7979" w:rsidRDefault="00CE7979" w:rsidP="006732A5">
      <w:pPr>
        <w:pStyle w:val="Textpoznpodarou"/>
      </w:pPr>
      <w:r>
        <w:rPr>
          <w:rStyle w:val="Znakapoznpodarou"/>
        </w:rPr>
        <w:footnoteRef/>
      </w:r>
      <w:r>
        <w:t xml:space="preserve"> </w:t>
      </w:r>
      <w:r w:rsidRPr="00C87324">
        <w:t>http://www.bbc.co.uk/news/10461048</w:t>
      </w:r>
    </w:p>
  </w:footnote>
  <w:footnote w:id="2">
    <w:p w:rsidR="00CE7979" w:rsidRDefault="00CE7979" w:rsidP="006732A5">
      <w:pPr>
        <w:pStyle w:val="Textpoznpodarou"/>
      </w:pPr>
      <w:r>
        <w:rPr>
          <w:rStyle w:val="Znakapoznpodarou"/>
        </w:rPr>
        <w:footnoteRef/>
      </w:r>
      <w:r>
        <w:t xml:space="preserve"> </w:t>
      </w:r>
      <w:r w:rsidRPr="00C87324">
        <w:t>http://www.wired.com/threatlevel/2011/06/internet-a-human-right/</w:t>
      </w:r>
    </w:p>
  </w:footnote>
  <w:footnote w:id="3">
    <w:p w:rsidR="00CE7979" w:rsidRDefault="00CE7979">
      <w:pPr>
        <w:pStyle w:val="Textpoznpodarou"/>
      </w:pPr>
      <w:r>
        <w:rPr>
          <w:rStyle w:val="Znakapoznpodarou"/>
        </w:rPr>
        <w:footnoteRef/>
      </w:r>
      <w:r>
        <w:t xml:space="preserve"> </w:t>
      </w:r>
      <w:r w:rsidRPr="00174BAB">
        <w:t>http://www.iab.net/economicvalue</w:t>
      </w:r>
    </w:p>
  </w:footnote>
  <w:footnote w:id="4">
    <w:p w:rsidR="00CE7979" w:rsidRDefault="00CE7979" w:rsidP="006732A5">
      <w:pPr>
        <w:pStyle w:val="Textpoznpodarou"/>
      </w:pPr>
      <w:r>
        <w:rPr>
          <w:rStyle w:val="Znakapoznpodarou"/>
        </w:rPr>
        <w:footnoteRef/>
      </w:r>
      <w:r>
        <w:t xml:space="preserve"> Angl. key enabling technology</w:t>
      </w:r>
    </w:p>
  </w:footnote>
  <w:footnote w:id="5">
    <w:p w:rsidR="00CE7979" w:rsidRDefault="00CE7979">
      <w:pPr>
        <w:pStyle w:val="Textpoznpodarou"/>
      </w:pPr>
      <w:r>
        <w:rPr>
          <w:rStyle w:val="Znakapoznpodarou"/>
        </w:rPr>
        <w:footnoteRef/>
      </w:r>
      <w:r>
        <w:t xml:space="preserve"> </w:t>
      </w:r>
      <w:r>
        <w:fldChar w:fldCharType="begin"/>
      </w:r>
      <w:r>
        <w:instrText xml:space="preserve"> REF _Ref367267082 \h </w:instrText>
      </w:r>
      <w:r>
        <w:fldChar w:fldCharType="separate"/>
      </w:r>
      <w:r>
        <w:t xml:space="preserve">Graf </w:t>
      </w:r>
      <w:r>
        <w:rPr>
          <w:noProof/>
        </w:rPr>
        <w:t>3</w:t>
      </w:r>
      <w:r>
        <w:fldChar w:fldCharType="end"/>
      </w:r>
    </w:p>
  </w:footnote>
  <w:footnote w:id="6">
    <w:p w:rsidR="00CE7979" w:rsidRDefault="00CE7979">
      <w:pPr>
        <w:pStyle w:val="Textpoznpodarou"/>
      </w:pPr>
      <w:r>
        <w:rPr>
          <w:rStyle w:val="Znakapoznpodarou"/>
        </w:rPr>
        <w:footnoteRef/>
      </w:r>
      <w:r>
        <w:t>Na českých VŠ chybí především oborová specializace.</w:t>
      </w:r>
    </w:p>
  </w:footnote>
  <w:footnote w:id="7">
    <w:p w:rsidR="00CE7979" w:rsidRDefault="00CE7979">
      <w:pPr>
        <w:pStyle w:val="Textpoznpodarou"/>
      </w:pPr>
      <w:r>
        <w:rPr>
          <w:rStyle w:val="Znakapoznpodarou"/>
        </w:rPr>
        <w:footnoteRef/>
      </w:r>
      <w:r>
        <w:t xml:space="preserve"> U politického a regulatorního prostředí index p</w:t>
      </w:r>
      <w:r w:rsidRPr="002D09E9">
        <w:t>osuzuje, do jaké míry vnitrostátní právní rámec usnadňuje pronikání informačních a komun</w:t>
      </w:r>
      <w:r>
        <w:t>ikačních technologií a bezpečný</w:t>
      </w:r>
      <w:r w:rsidRPr="002D09E9">
        <w:t xml:space="preserve"> rozvoj podnikatelských aktivit, s přihlédnutím k obecným funkcí</w:t>
      </w:r>
      <w:r>
        <w:t>m</w:t>
      </w:r>
      <w:r w:rsidRPr="002D09E9">
        <w:t xml:space="preserve"> regulačního prostředí (včetně ochrany vlastnických práv, nezávislost</w:t>
      </w:r>
      <w:r>
        <w:t>i soudů a efektivity legislativního procesu) a další ICT specifika (právní předpisy vztahující se k ICT a softwarovému pirátství).</w:t>
      </w:r>
    </w:p>
  </w:footnote>
  <w:footnote w:id="8">
    <w:p w:rsidR="00CE7979" w:rsidRDefault="00CE7979" w:rsidP="006732A5">
      <w:pPr>
        <w:pStyle w:val="Textpoznpodarou"/>
      </w:pPr>
      <w:r>
        <w:rPr>
          <w:rStyle w:val="Znakapoznpodarou"/>
        </w:rPr>
        <w:footnoteRef/>
      </w:r>
      <w:r>
        <w:t xml:space="preserve"> Lepší síťové připravenosti dosahují Pobaltské země nebo např. Portugalsko, což jsou ekonomicky méně vyspělé země než ČR. Naopak horšího výsledku dosáhla např. Itálie či Řecko.</w:t>
      </w:r>
    </w:p>
  </w:footnote>
  <w:footnote w:id="9">
    <w:p w:rsidR="00CE7979" w:rsidRDefault="00CE7979" w:rsidP="006732A5">
      <w:pPr>
        <w:pStyle w:val="Textpoznpodarou"/>
      </w:pPr>
      <w:r>
        <w:rPr>
          <w:rStyle w:val="Znakapoznpodarou"/>
        </w:rPr>
        <w:footnoteRef/>
      </w:r>
      <w:r>
        <w:t>Mezi IT odborníky patří analytici a vývojáři softwaru a počítačových aplikací), specialisté v oblasti databází a počítačových sítí, technici v oblasti ICT, technici provozu a uživatelské podpory ICT a příbuzní pracovníci, technici v oblasti telekomunikací a vysílání.</w:t>
      </w:r>
    </w:p>
  </w:footnote>
  <w:footnote w:id="10">
    <w:p w:rsidR="00CE7979" w:rsidRDefault="00CE7979">
      <w:pPr>
        <w:pStyle w:val="Textpoznpodarou"/>
      </w:pPr>
      <w:r>
        <w:rPr>
          <w:rStyle w:val="Znakapoznpodarou"/>
        </w:rPr>
        <w:footnoteRef/>
      </w:r>
      <w:r>
        <w:t xml:space="preserve"> </w:t>
      </w:r>
      <w:r w:rsidRPr="00C92DE9">
        <w:t>http://www.zemeinternetova.cz/</w:t>
      </w:r>
    </w:p>
  </w:footnote>
  <w:footnote w:id="11">
    <w:p w:rsidR="00CE7979" w:rsidRDefault="00CE7979" w:rsidP="006732A5">
      <w:pPr>
        <w:pStyle w:val="Textpoznpodarou"/>
      </w:pPr>
      <w:r>
        <w:rPr>
          <w:rStyle w:val="Znakapoznpodarou"/>
        </w:rPr>
        <w:footnoteRef/>
      </w:r>
      <w:r>
        <w:t xml:space="preserve"> Dle studie představovala internetová ekonomika v roce 2009 3,6% podíl na HDP České republiky.</w:t>
      </w:r>
    </w:p>
  </w:footnote>
  <w:footnote w:id="12">
    <w:p w:rsidR="00CE7979" w:rsidRDefault="00CE7979" w:rsidP="006732A5">
      <w:pPr>
        <w:pStyle w:val="Textpoznpodarou"/>
      </w:pPr>
      <w:r>
        <w:rPr>
          <w:rStyle w:val="Znakapoznpodarou"/>
        </w:rPr>
        <w:footnoteRef/>
      </w:r>
      <w:r>
        <w:t xml:space="preserve"> Např. modem, investice do infrastruktury apod.</w:t>
      </w:r>
    </w:p>
  </w:footnote>
  <w:footnote w:id="13">
    <w:p w:rsidR="00CE7979" w:rsidRDefault="00CE7979" w:rsidP="006732A5">
      <w:pPr>
        <w:pStyle w:val="Textpoznpodarou"/>
      </w:pPr>
      <w:r>
        <w:rPr>
          <w:rStyle w:val="Znakapoznpodarou"/>
        </w:rPr>
        <w:footnoteRef/>
      </w:r>
      <w:r>
        <w:t xml:space="preserve"> Např. vývoj software na vyhodnocování tržního rizika banky, nepotřebuje-li jako zdroj data z on-line databází, počítačové hry, nejsou-li určeny především na hry více účastníků on-line, telekomunikační činnosti také ještě z části nejsou provázány s internetovou ekonomikou apod.</w:t>
      </w:r>
    </w:p>
  </w:footnote>
  <w:footnote w:id="14">
    <w:p w:rsidR="00CE7979" w:rsidRDefault="00CE7979" w:rsidP="006732A5">
      <w:pPr>
        <w:pStyle w:val="Textpoznpodarou"/>
      </w:pPr>
      <w:r>
        <w:rPr>
          <w:rStyle w:val="Znakapoznpodarou"/>
        </w:rPr>
        <w:footnoteRef/>
      </w:r>
      <w:r>
        <w:t xml:space="preserve"> </w:t>
      </w:r>
      <w:r w:rsidRPr="00ED295C">
        <w:t>Nedávná akvizice Microsoftu spo</w:t>
      </w:r>
      <w:r>
        <w:t xml:space="preserve">lečnosti Nokia jen potvrzuje, že se v budoucnu očekává další sbližování trhu mobilních telefonů, počítačů a internetu. </w:t>
      </w:r>
    </w:p>
  </w:footnote>
  <w:footnote w:id="15">
    <w:p w:rsidR="00CE7979" w:rsidRDefault="00CE7979" w:rsidP="006732A5">
      <w:pPr>
        <w:pStyle w:val="Textpoznpodarou"/>
      </w:pPr>
      <w:r>
        <w:rPr>
          <w:rStyle w:val="Znakapoznpodarou"/>
        </w:rPr>
        <w:footnoteRef/>
      </w:r>
      <w:r>
        <w:t xml:space="preserve"> Samozřejmě, že B2C e-commerce má vliv na HDP např. skrze zlevnění distribuce a následnému vyššímu prodeji, ale tento efekt se promítne spíše skrze jiná odvětví a náleží tudíž do prvního vnějšího kruhu z obrázku vlivu internetu na HDP.</w:t>
      </w:r>
    </w:p>
  </w:footnote>
  <w:footnote w:id="16">
    <w:p w:rsidR="00CE7979" w:rsidRDefault="00CE7979">
      <w:pPr>
        <w:pStyle w:val="Textpoznpodarou"/>
      </w:pPr>
      <w:r>
        <w:rPr>
          <w:rStyle w:val="Znakapoznpodarou"/>
        </w:rPr>
        <w:footnoteRef/>
      </w:r>
      <w:r>
        <w:t xml:space="preserve"> Na základě dat z ČSÚ nebylo možné oddělit maloobchod prostřednictvím internetu a maloobchod prostřednictvím zásilkové služby.</w:t>
      </w:r>
    </w:p>
  </w:footnote>
  <w:footnote w:id="17">
    <w:p w:rsidR="00CE7979" w:rsidRDefault="00CE7979" w:rsidP="006732A5">
      <w:pPr>
        <w:pStyle w:val="Textpoznpodarou"/>
      </w:pPr>
      <w:r>
        <w:rPr>
          <w:rStyle w:val="Znakapoznpodarou"/>
        </w:rPr>
        <w:footnoteRef/>
      </w:r>
      <w:r>
        <w:t xml:space="preserve"> Na základě dat ČSÚ</w:t>
      </w:r>
    </w:p>
  </w:footnote>
  <w:footnote w:id="18">
    <w:p w:rsidR="00CE7979" w:rsidRDefault="00CE7979" w:rsidP="006732A5">
      <w:pPr>
        <w:pStyle w:val="Textpoznpodarou"/>
      </w:pPr>
      <w:r>
        <w:rPr>
          <w:rStyle w:val="Znakapoznpodarou"/>
        </w:rPr>
        <w:footnoteRef/>
      </w:r>
      <w:r>
        <w:t xml:space="preserve"> Na základě ppm factum, Admosphere</w:t>
      </w:r>
    </w:p>
  </w:footnote>
  <w:footnote w:id="19">
    <w:p w:rsidR="00CE7979" w:rsidRDefault="00CE7979" w:rsidP="006732A5">
      <w:pPr>
        <w:pStyle w:val="Textpoznpodarou"/>
      </w:pPr>
      <w:r>
        <w:rPr>
          <w:rStyle w:val="Znakapoznpodarou"/>
        </w:rPr>
        <w:footnoteRef/>
      </w:r>
      <w:r>
        <w:t xml:space="preserve"> Např. využití cloud computingu (SaaS, IaaS, PaaS)</w:t>
      </w:r>
    </w:p>
  </w:footnote>
  <w:footnote w:id="20">
    <w:p w:rsidR="00CE7979" w:rsidRDefault="00CE7979" w:rsidP="006732A5">
      <w:pPr>
        <w:pStyle w:val="Textpoznpodarou"/>
      </w:pPr>
      <w:r>
        <w:rPr>
          <w:rStyle w:val="Znakapoznpodarou"/>
        </w:rPr>
        <w:footnoteRef/>
      </w:r>
      <w:r>
        <w:t xml:space="preserve"> Tato studie byla vypracována na země G8, Jížní Koreu, Švédsko, Brazílii, Čínu a Indii.</w:t>
      </w:r>
    </w:p>
  </w:footnote>
  <w:footnote w:id="21">
    <w:p w:rsidR="00CE7979" w:rsidRDefault="00CE7979" w:rsidP="006732A5">
      <w:pPr>
        <w:pStyle w:val="Textpoznpodarou"/>
      </w:pPr>
      <w:r>
        <w:rPr>
          <w:rStyle w:val="Znakapoznpodarou"/>
        </w:rPr>
        <w:footnoteRef/>
      </w:r>
      <w:r>
        <w:t xml:space="preserve"> Ne pouze e-learning, ale i snadnější transfer učících materiálů prostřednictvím internetu při jiné formě studia.</w:t>
      </w:r>
    </w:p>
  </w:footnote>
  <w:footnote w:id="22">
    <w:p w:rsidR="00CE7979" w:rsidRDefault="00CE7979" w:rsidP="006732A5">
      <w:pPr>
        <w:pStyle w:val="Textpoznpodarou"/>
      </w:pPr>
      <w:r>
        <w:rPr>
          <w:rStyle w:val="Znakapoznpodarou"/>
        </w:rPr>
        <w:footnoteRef/>
      </w:r>
      <w:r>
        <w:t xml:space="preserve"> Bez které je limitovaný další rozvoj internetové ekonomiky.</w:t>
      </w:r>
    </w:p>
  </w:footnote>
  <w:footnote w:id="23">
    <w:p w:rsidR="00CE7979" w:rsidRDefault="00CE7979" w:rsidP="006732A5">
      <w:pPr>
        <w:pStyle w:val="Textpoznpodarou"/>
      </w:pPr>
      <w:r>
        <w:rPr>
          <w:rStyle w:val="Znakapoznpodarou"/>
        </w:rPr>
        <w:footnoteRef/>
      </w:r>
      <w:r>
        <w:t xml:space="preserve"> V EU tento podíl činí 45 %.</w:t>
      </w:r>
    </w:p>
  </w:footnote>
  <w:footnote w:id="24">
    <w:p w:rsidR="00CE7979" w:rsidRDefault="00CE7979" w:rsidP="006732A5">
      <w:pPr>
        <w:pStyle w:val="Textpoznpodarou"/>
      </w:pPr>
      <w:r>
        <w:rPr>
          <w:rStyle w:val="Znakapoznpodarou"/>
        </w:rPr>
        <w:footnoteRef/>
      </w:r>
      <w:r>
        <w:t xml:space="preserve"> Takto je rozdělena i v Rámci strategie konkurenceschopnosti NERV (2011)</w:t>
      </w:r>
    </w:p>
  </w:footnote>
  <w:footnote w:id="25">
    <w:p w:rsidR="00CE7979" w:rsidRDefault="00CE7979" w:rsidP="006732A5">
      <w:pPr>
        <w:pStyle w:val="Textpoznpodarou"/>
      </w:pPr>
      <w:r>
        <w:rPr>
          <w:rStyle w:val="Znakapoznpodarou"/>
        </w:rPr>
        <w:footnoteRef/>
      </w:r>
      <w:r>
        <w:t xml:space="preserve"> Produktivita práce v ICT sektoru je počítána jako HPH ICT sektoru na zaměstnance a produktivita práce všech odvětví jako HPH ČR na zaměstnance.</w:t>
      </w:r>
    </w:p>
  </w:footnote>
  <w:footnote w:id="26">
    <w:p w:rsidR="00CE7979" w:rsidRDefault="00CE7979">
      <w:pPr>
        <w:pStyle w:val="Textpoznpodarou"/>
      </w:pPr>
      <w:r>
        <w:rPr>
          <w:rStyle w:val="Znakapoznpodarou"/>
        </w:rPr>
        <w:footnoteRef/>
      </w:r>
      <w:r>
        <w:t xml:space="preserve"> Propojení el. zařízení</w:t>
      </w:r>
      <w:r w:rsidRPr="00C540C8">
        <w:t xml:space="preserve"> a jejich spolupráci prostřednictvím internetu</w:t>
      </w:r>
      <w:r>
        <w:t>.</w:t>
      </w:r>
    </w:p>
  </w:footnote>
  <w:footnote w:id="27">
    <w:p w:rsidR="00CE7979" w:rsidRDefault="00CE7979">
      <w:pPr>
        <w:pStyle w:val="Textpoznpodarou"/>
      </w:pPr>
      <w:r>
        <w:rPr>
          <w:rStyle w:val="Znakapoznpodarou"/>
        </w:rPr>
        <w:footnoteRef/>
      </w:r>
      <w:r>
        <w:t xml:space="preserve"> S</w:t>
      </w:r>
      <w:r w:rsidRPr="00C540C8">
        <w:t>bírání obrovských datových souborů, které je obtížné zpracovávat běžnými aplikacemi pro zpracování dat</w:t>
      </w:r>
      <w:r>
        <w:t>.</w:t>
      </w:r>
    </w:p>
  </w:footnote>
  <w:footnote w:id="28">
    <w:p w:rsidR="00CE7979" w:rsidRDefault="00CE7979">
      <w:pPr>
        <w:pStyle w:val="Textpoznpodarou"/>
      </w:pPr>
      <w:r>
        <w:rPr>
          <w:rStyle w:val="Znakapoznpodarou"/>
        </w:rPr>
        <w:footnoteRef/>
      </w:r>
      <w:r>
        <w:t xml:space="preserve"> Na základě metody instrumentálních proměnných prokázali, že neplatí opačná kauzalita.</w:t>
      </w:r>
    </w:p>
  </w:footnote>
  <w:footnote w:id="29">
    <w:p w:rsidR="00CE7979" w:rsidRDefault="00CE7979" w:rsidP="006732A5">
      <w:pPr>
        <w:pStyle w:val="Textpoznpodarou"/>
      </w:pPr>
      <w:r>
        <w:rPr>
          <w:rStyle w:val="Znakapoznpodarou"/>
        </w:rPr>
        <w:footnoteRef/>
      </w:r>
      <w:r>
        <w:t xml:space="preserve"> Francie, Německo, Velká Británie, Itálie a Španělsko</w:t>
      </w:r>
    </w:p>
  </w:footnote>
  <w:footnote w:id="30">
    <w:p w:rsidR="00CE7979" w:rsidRDefault="00CE7979">
      <w:pPr>
        <w:pStyle w:val="Textpoznpodarou"/>
      </w:pPr>
      <w:r>
        <w:rPr>
          <w:rStyle w:val="Znakapoznpodarou"/>
        </w:rPr>
        <w:footnoteRef/>
      </w:r>
      <w:r>
        <w:t xml:space="preserve"> Internet věcí rozšiřuje portfolio zařízení přes které je možné připojit se k internetu.</w:t>
      </w:r>
    </w:p>
  </w:footnote>
  <w:footnote w:id="31">
    <w:p w:rsidR="00CE7979" w:rsidRDefault="00CE7979">
      <w:pPr>
        <w:pStyle w:val="Textpoznpodarou"/>
      </w:pPr>
      <w:r>
        <w:rPr>
          <w:rStyle w:val="Znakapoznpodarou"/>
        </w:rPr>
        <w:footnoteRef/>
      </w:r>
      <w:r>
        <w:t xml:space="preserve"> General Packet Radio Service</w:t>
      </w:r>
    </w:p>
  </w:footnote>
  <w:footnote w:id="32">
    <w:p w:rsidR="00CE7979" w:rsidRDefault="00CE7979">
      <w:pPr>
        <w:pStyle w:val="Textpoznpodarou"/>
      </w:pPr>
      <w:r>
        <w:rPr>
          <w:rStyle w:val="Znakapoznpodarou"/>
        </w:rPr>
        <w:footnoteRef/>
      </w:r>
      <w:r>
        <w:t xml:space="preserve"> </w:t>
      </w:r>
      <w:r w:rsidRPr="002F3502">
        <w:t>http://www.lupa.cz/clanky/budovani-3g-siti-v-cr-neskoncilo-ted-ale-fakticky-uz-polovine-lonskeho-roku/</w:t>
      </w:r>
    </w:p>
  </w:footnote>
  <w:footnote w:id="33">
    <w:p w:rsidR="00CE7979" w:rsidRDefault="00CE7979">
      <w:pPr>
        <w:pStyle w:val="Textpoznpodarou"/>
      </w:pPr>
      <w:r>
        <w:rPr>
          <w:rStyle w:val="Znakapoznpodarou"/>
        </w:rPr>
        <w:footnoteRef/>
      </w:r>
      <w:r>
        <w:t xml:space="preserve"> Pilotním projektem pasportizace budov ve veřejné správě za použití informačního modelu budov v ČR  byla v roce 2012 </w:t>
      </w:r>
      <w:r w:rsidRPr="00B21ED7">
        <w:t>pasportizace 263 objektů v rámci CRAB</w:t>
      </w:r>
      <w:r>
        <w:t xml:space="preserve"> (Centrální registr administrativních budov)</w:t>
      </w:r>
      <w:r w:rsidRPr="00B21ED7">
        <w:t>, který byl realizován Úřadem pro zastupování státu ve věcech majetkových za podpory Evropského fondu pro regionální rozvoj.</w:t>
      </w:r>
    </w:p>
  </w:footnote>
  <w:footnote w:id="34">
    <w:p w:rsidR="00CE7979" w:rsidRDefault="00CE7979">
      <w:pPr>
        <w:pStyle w:val="Textpoznpodarou"/>
      </w:pPr>
      <w:r>
        <w:rPr>
          <w:rStyle w:val="Znakapoznpodarou"/>
        </w:rPr>
        <w:footnoteRef/>
      </w:r>
      <w:r>
        <w:t xml:space="preserve"> Např. Foursquare</w:t>
      </w:r>
    </w:p>
  </w:footnote>
  <w:footnote w:id="35">
    <w:p w:rsidR="00CE7979" w:rsidRDefault="00CE7979">
      <w:pPr>
        <w:pStyle w:val="Textpoznpodarou"/>
      </w:pPr>
      <w:r>
        <w:rPr>
          <w:rStyle w:val="Znakapoznpodarou"/>
        </w:rPr>
        <w:footnoteRef/>
      </w:r>
      <w:r>
        <w:t xml:space="preserve"> </w:t>
      </w:r>
      <w:r w:rsidRPr="000A6A6F">
        <w:t>http://www.gartner.com/newsroom/id/2575515</w:t>
      </w:r>
    </w:p>
  </w:footnote>
  <w:footnote w:id="36">
    <w:p w:rsidR="00CE7979" w:rsidRDefault="00CE7979">
      <w:pPr>
        <w:pStyle w:val="Textpoznpodarou"/>
      </w:pPr>
      <w:r>
        <w:rPr>
          <w:rStyle w:val="Znakapoznpodarou"/>
        </w:rPr>
        <w:footnoteRef/>
      </w:r>
      <w:r>
        <w:t xml:space="preserve"> Deziluze a pozdější opětný vzestup- osvícení.</w:t>
      </w:r>
    </w:p>
  </w:footnote>
  <w:footnote w:id="37">
    <w:p w:rsidR="00CE7979" w:rsidRDefault="00CE7979" w:rsidP="00CF6076">
      <w:pPr>
        <w:pStyle w:val="Textpoznpodarou"/>
      </w:pPr>
      <w:r>
        <w:rPr>
          <w:rStyle w:val="Znakapoznpodarou"/>
        </w:rPr>
        <w:footnoteRef/>
      </w:r>
      <w:r>
        <w:t xml:space="preserve"> Evropská komise definuje tento termín jako schopnosti nutné k účinnému využívání ICT systémů a přístrojů jednotlivcem. Obnáší schopnost využívat software a aplikace k vlastní činnosti (jedná se o základní software – např. balíček Microsoft Office nebo běžné prohlížeče, sociální sítě apod.), popřípadě základní uživatelské dovednosti ve vztahu ke specializovanému softwaru (týká se především využití softwaru v zaměstnání). Uživatelské e-Skills zahrnují rovněž schopnost uživatele porozumět základům fungování internetu (pochopení fungování licencí, uzavírání smluv na internetu, základní představa o ochraně osobních údajů a soukromí apod. Uživatel s dostatečnou mírou e-Skills, respektive digitálně gramotný uživatel, by měl být schopen využívat internet, počítač a další ICT technologie v základní úrovni ke své práci, k učení, ke komunikaci a k volnočasovým aktivitám.</w:t>
      </w:r>
    </w:p>
  </w:footnote>
  <w:footnote w:id="38">
    <w:p w:rsidR="00CE7979" w:rsidRDefault="00CE7979" w:rsidP="00CF6076">
      <w:pPr>
        <w:pStyle w:val="Textpoznpodarou"/>
      </w:pPr>
      <w:r>
        <w:rPr>
          <w:rStyle w:val="Znakapoznpodarou"/>
        </w:rPr>
        <w:footnoteRef/>
      </w:r>
      <w:r>
        <w:t xml:space="preserve"> Vzhledem k tomu, že jediná regulace, která by mohla fungovat na globální technologii, je globální regulace </w:t>
      </w:r>
    </w:p>
  </w:footnote>
  <w:footnote w:id="39">
    <w:p w:rsidR="00CE7979" w:rsidRDefault="00CE7979" w:rsidP="00CF6076">
      <w:pPr>
        <w:pStyle w:val="Textpoznpodarou"/>
      </w:pPr>
      <w:r>
        <w:rPr>
          <w:rStyle w:val="Znakapoznpodarou"/>
        </w:rPr>
        <w:footnoteRef/>
      </w:r>
      <w:r>
        <w:t xml:space="preserve"> Z</w:t>
      </w:r>
      <w:r w:rsidRPr="009F460A">
        <w:t xml:space="preserve"> hlediska regulace pak pro internetovou ekonomiku platí stejně jako pro všechny ostatní odvětví ekonomiky potřeba kvalitní regulace podnikání a podnikatelského prostředí</w:t>
      </w:r>
    </w:p>
  </w:footnote>
  <w:footnote w:id="40">
    <w:p w:rsidR="00CE7979" w:rsidRDefault="00CE7979" w:rsidP="00CF6076">
      <w:pPr>
        <w:pStyle w:val="Textpoznpodarou"/>
      </w:pPr>
      <w:r>
        <w:rPr>
          <w:rStyle w:val="Znakapoznpodarou"/>
        </w:rPr>
        <w:footnoteRef/>
      </w:r>
      <w:r>
        <w:t xml:space="preserve"> Kód respondenta - anonymizováno</w:t>
      </w:r>
    </w:p>
  </w:footnote>
  <w:footnote w:id="41">
    <w:p w:rsidR="00CE7979" w:rsidRDefault="00CE7979">
      <w:pPr>
        <w:pStyle w:val="Textpoznpodarou"/>
      </w:pPr>
      <w:r>
        <w:rPr>
          <w:rStyle w:val="Znakapoznpodarou"/>
        </w:rPr>
        <w:footnoteRef/>
      </w:r>
      <w:r>
        <w:t xml:space="preserve"> Parafráze připomínky z konzultací</w:t>
      </w:r>
    </w:p>
  </w:footnote>
  <w:footnote w:id="42">
    <w:p w:rsidR="00CE7979" w:rsidRDefault="00CE7979" w:rsidP="00CF6076">
      <w:pPr>
        <w:pStyle w:val="Textpoznpodarou"/>
      </w:pPr>
      <w:r>
        <w:rPr>
          <w:rStyle w:val="Znakapoznpodarou"/>
        </w:rPr>
        <w:footnoteRef/>
      </w:r>
      <w:r>
        <w:t xml:space="preserve"> Pozor – zde se jedná o výsledek manažerského dotazníku, nikoliv o tvrdá data. Výsledek tedy neříká nic o tom, kolik prostředků vláda vydává na nákupy ICT, ale říká, zda si čeští manažeři myslí, že vládní nákupy ICT přispívají k tvorbě inovací v této oblasti. Výsledek naznačuje, že nehledě na vynaložené prostředky si čeští respondenti dotazování myslí, že vládní nákupy k rozvoji pokročilých technologií a inovací vůbec nepřispívají. Naopak při hodnocení tvrdých dat o dostupnosti veřejných služeb online se ČR umístila na průměrném 53. místě.</w:t>
      </w:r>
    </w:p>
  </w:footnote>
  <w:footnote w:id="43">
    <w:p w:rsidR="00CE7979" w:rsidRDefault="00CE7979" w:rsidP="00CF6076">
      <w:pPr>
        <w:pStyle w:val="Textpoznpodarou"/>
      </w:pPr>
      <w:r>
        <w:rPr>
          <w:rStyle w:val="Znakapoznpodarou"/>
        </w:rPr>
        <w:footnoteRef/>
      </w:r>
      <w:r>
        <w:t xml:space="preserve"> Toto je hypotéza, která se zakládá na výsledku konzultací a rovněž na průzkumu dílčích případů selhání státu a dalších veřejných institucí při nákupu a implementaci ICT ve veřejné správě, které naznačují, že odpovědní úředníci nejsou často schopni efektivně ICT technologie poptat. Tato hypotéza je rovněž nepřímo doložena výsledky Global Information Technology Report 2013.</w:t>
      </w:r>
    </w:p>
  </w:footnote>
  <w:footnote w:id="44">
    <w:p w:rsidR="00CE7979" w:rsidRDefault="00CE7979">
      <w:pPr>
        <w:pStyle w:val="Textpoznpodarou"/>
      </w:pPr>
      <w:r>
        <w:rPr>
          <w:rStyle w:val="Znakapoznpodarou"/>
        </w:rPr>
        <w:footnoteRef/>
      </w:r>
      <w:r>
        <w:t xml:space="preserve"> Parafráze vyjádření z konzultací</w:t>
      </w:r>
    </w:p>
  </w:footnote>
  <w:footnote w:id="45">
    <w:p w:rsidR="00CE7979" w:rsidRDefault="00CE7979" w:rsidP="00CF6076">
      <w:pPr>
        <w:pStyle w:val="Textpoznpodarou"/>
      </w:pPr>
      <w:r>
        <w:rPr>
          <w:rStyle w:val="Znakapoznpodarou"/>
        </w:rPr>
        <w:footnoteRef/>
      </w:r>
      <w:r>
        <w:t xml:space="preserve"> Které vedou k častým personálním obměnám na všech úrovních veřejné správy, ke změnám v chodu úřadů a k nepotismu v obsazování vedoucích pozic</w:t>
      </w:r>
    </w:p>
  </w:footnote>
  <w:footnote w:id="46">
    <w:p w:rsidR="00CE7979" w:rsidRDefault="00CE7979" w:rsidP="00CF6076">
      <w:pPr>
        <w:pStyle w:val="Textpoznpodarou"/>
      </w:pPr>
      <w:r>
        <w:rPr>
          <w:rStyle w:val="Znakapoznpodarou"/>
        </w:rPr>
        <w:footnoteRef/>
      </w:r>
      <w:r>
        <w:t xml:space="preserve"> Např. Rekonstrukce státu – nezisková iniciativa</w:t>
      </w:r>
    </w:p>
  </w:footnote>
  <w:footnote w:id="47">
    <w:p w:rsidR="00CE7979" w:rsidRDefault="00CE7979" w:rsidP="00CF6076">
      <w:pPr>
        <w:pStyle w:val="Textpoznpodarou"/>
      </w:pPr>
      <w:r>
        <w:rPr>
          <w:rStyle w:val="Znakapoznpodarou"/>
        </w:rPr>
        <w:footnoteRef/>
      </w:r>
      <w:r>
        <w:t xml:space="preserve"> Technology Impact Assessment</w:t>
      </w:r>
    </w:p>
  </w:footnote>
  <w:footnote w:id="48">
    <w:p w:rsidR="00CE7979" w:rsidRDefault="00CE7979" w:rsidP="00CF6076">
      <w:pPr>
        <w:pStyle w:val="Textpoznpodarou"/>
      </w:pPr>
      <w:r>
        <w:rPr>
          <w:rStyle w:val="Znakapoznpodarou"/>
        </w:rPr>
        <w:footnoteRef/>
      </w:r>
      <w:r>
        <w:t xml:space="preserve"> Regulatory Impact Assessment – součást legislativního procesu v ČR</w:t>
      </w:r>
    </w:p>
  </w:footnote>
  <w:footnote w:id="49">
    <w:p w:rsidR="00CE7979" w:rsidRDefault="00CE7979">
      <w:pPr>
        <w:pStyle w:val="Textpoznpodarou"/>
      </w:pPr>
      <w:r>
        <w:rPr>
          <w:rStyle w:val="Znakapoznpodarou"/>
        </w:rPr>
        <w:footnoteRef/>
      </w:r>
      <w:r>
        <w:t xml:space="preserve"> Parafráze vyjádření z konzultací</w:t>
      </w:r>
    </w:p>
  </w:footnote>
  <w:footnote w:id="50">
    <w:p w:rsidR="00CE7979" w:rsidRDefault="00CE7979">
      <w:pPr>
        <w:pStyle w:val="Textpoznpodarou"/>
      </w:pPr>
      <w:r>
        <w:rPr>
          <w:rStyle w:val="Znakapoznpodarou"/>
        </w:rPr>
        <w:footnoteRef/>
      </w:r>
      <w:r>
        <w:t xml:space="preserve"> Parafráze vyjádření z konzultací</w:t>
      </w:r>
    </w:p>
  </w:footnote>
  <w:footnote w:id="51">
    <w:p w:rsidR="00CE7979" w:rsidRDefault="00CE7979">
      <w:pPr>
        <w:pStyle w:val="Textpoznpodarou"/>
      </w:pPr>
      <w:r>
        <w:rPr>
          <w:rStyle w:val="Znakapoznpodarou"/>
        </w:rPr>
        <w:footnoteRef/>
      </w:r>
      <w:r>
        <w:t xml:space="preserve"> Parafráze vyjádření z konzultací</w:t>
      </w:r>
    </w:p>
  </w:footnote>
  <w:footnote w:id="52">
    <w:p w:rsidR="00CE7979" w:rsidRDefault="00CE7979">
      <w:pPr>
        <w:pStyle w:val="Textpoznpodarou"/>
      </w:pPr>
      <w:r>
        <w:rPr>
          <w:rStyle w:val="Znakapoznpodarou"/>
        </w:rPr>
        <w:footnoteRef/>
      </w:r>
      <w:r>
        <w:t xml:space="preserve"> Parafráze vyjádření z konzultací</w:t>
      </w:r>
    </w:p>
  </w:footnote>
  <w:footnote w:id="53">
    <w:p w:rsidR="00CE7979" w:rsidRDefault="00CE7979">
      <w:pPr>
        <w:pStyle w:val="Textpoznpodarou"/>
      </w:pPr>
      <w:r>
        <w:rPr>
          <w:rStyle w:val="Znakapoznpodarou"/>
        </w:rPr>
        <w:footnoteRef/>
      </w:r>
      <w:r>
        <w:t xml:space="preserve"> Parafráze vyjádření z konzultací</w:t>
      </w:r>
    </w:p>
  </w:footnote>
  <w:footnote w:id="54">
    <w:p w:rsidR="00CE7979" w:rsidRDefault="00CE7979" w:rsidP="00CF6076">
      <w:pPr>
        <w:pStyle w:val="Textpoznpodarou"/>
      </w:pPr>
      <w:r>
        <w:rPr>
          <w:rStyle w:val="Znakapoznpodarou"/>
        </w:rPr>
        <w:footnoteRef/>
      </w:r>
      <w:r>
        <w:t xml:space="preserve"> </w:t>
      </w:r>
      <w:r w:rsidRPr="00577C50">
        <w:t>Analýza vzdělávacích programů z hlediska zaměstnatelnosti absolventů, Kofroňová, O.- Vojtěch, J., 1.vydání. Praha, NÚOV 2</w:t>
      </w:r>
      <w:r>
        <w:t>006, 57 stran</w:t>
      </w:r>
    </w:p>
  </w:footnote>
  <w:footnote w:id="55">
    <w:p w:rsidR="00CE7979" w:rsidRDefault="00CE7979" w:rsidP="00CF6076">
      <w:pPr>
        <w:pStyle w:val="Textpoznpodarou"/>
      </w:pPr>
      <w:r>
        <w:rPr>
          <w:rStyle w:val="Znakapoznpodarou"/>
        </w:rPr>
        <w:footnoteRef/>
      </w:r>
      <w:r>
        <w:t xml:space="preserve"> </w:t>
      </w:r>
      <w:hyperlink r:id="rId1" w:history="1">
        <w:r w:rsidRPr="00B344DE">
          <w:rPr>
            <w:rStyle w:val="Hypertextovodkaz"/>
          </w:rPr>
          <w:t>http://clanky.rvp.cz/keyword/digit%C3%A1ln%C3%AD%20gramotnost/</w:t>
        </w:r>
      </w:hyperlink>
      <w:r>
        <w:t xml:space="preserve"> </w:t>
      </w:r>
    </w:p>
  </w:footnote>
  <w:footnote w:id="56">
    <w:p w:rsidR="00CE7979" w:rsidRDefault="00CE7979" w:rsidP="00CF6076">
      <w:pPr>
        <w:pStyle w:val="Textpoznpodarou"/>
      </w:pPr>
      <w:r>
        <w:rPr>
          <w:rStyle w:val="Znakapoznpodarou"/>
        </w:rPr>
        <w:footnoteRef/>
      </w:r>
      <w:r>
        <w:t xml:space="preserve"> European Survey of School ICT in Education 2013, pp. 152</w:t>
      </w:r>
    </w:p>
  </w:footnote>
  <w:footnote w:id="57">
    <w:p w:rsidR="00CE7979" w:rsidRDefault="00CE7979" w:rsidP="00CF6076">
      <w:pPr>
        <w:pStyle w:val="Textpoznpodarou"/>
      </w:pPr>
      <w:r>
        <w:rPr>
          <w:rStyle w:val="Znakapoznpodarou"/>
        </w:rPr>
        <w:footnoteRef/>
      </w:r>
      <w:r>
        <w:t xml:space="preserve"> European Survey of School ICT in Education 2013, pp. 153</w:t>
      </w:r>
    </w:p>
  </w:footnote>
  <w:footnote w:id="58">
    <w:p w:rsidR="00CE7979" w:rsidRDefault="00CE7979" w:rsidP="00CF6076">
      <w:pPr>
        <w:pStyle w:val="Textpoznpodarou"/>
      </w:pPr>
      <w:r>
        <w:rPr>
          <w:rStyle w:val="Znakapoznpodarou"/>
        </w:rPr>
        <w:footnoteRef/>
      </w:r>
      <w:r>
        <w:t xml:space="preserve"> Sekundární sektor = zpracovatelský průmysl, terciární sektor = služby, kvartérní sektor = veřejná správa</w:t>
      </w:r>
    </w:p>
  </w:footnote>
  <w:footnote w:id="59">
    <w:p w:rsidR="00CE7979" w:rsidRDefault="00CE7979">
      <w:pPr>
        <w:pStyle w:val="Textpoznpodarou"/>
      </w:pPr>
      <w:r>
        <w:rPr>
          <w:rStyle w:val="Znakapoznpodarou"/>
        </w:rPr>
        <w:footnoteRef/>
      </w:r>
      <w:r>
        <w:t xml:space="preserve"> Parafráze vyjádření z konzultací</w:t>
      </w:r>
    </w:p>
  </w:footnote>
  <w:footnote w:id="60">
    <w:p w:rsidR="00CE7979" w:rsidRDefault="00CE7979" w:rsidP="00CF6076">
      <w:pPr>
        <w:pStyle w:val="Textpoznpodarou"/>
      </w:pPr>
      <w:r>
        <w:rPr>
          <w:rStyle w:val="Znakapoznpodarou"/>
        </w:rPr>
        <w:footnoteRef/>
      </w:r>
      <w:r>
        <w:t xml:space="preserve"> </w:t>
      </w:r>
      <w:hyperlink r:id="rId2" w:history="1">
        <w:r w:rsidRPr="00627EDE">
          <w:rPr>
            <w:rStyle w:val="Hypertextovodkaz"/>
          </w:rPr>
          <w:t>http://www.iea.nl/icils_2013.html</w:t>
        </w:r>
      </w:hyperlink>
      <w:r>
        <w:t xml:space="preserve"> </w:t>
      </w:r>
    </w:p>
  </w:footnote>
  <w:footnote w:id="61">
    <w:p w:rsidR="00CE7979" w:rsidRDefault="00CE7979" w:rsidP="00CF6076">
      <w:pPr>
        <w:pStyle w:val="Textpoznpodarou"/>
      </w:pPr>
      <w:r>
        <w:rPr>
          <w:rStyle w:val="Znakapoznpodarou"/>
        </w:rPr>
        <w:footnoteRef/>
      </w:r>
      <w:r>
        <w:t xml:space="preserve"> Nicméně už nyní lze považovat za pozitivní, že se ČR do této studie zapojila – i přes úspory veřejných rozpočtů – doporučuje se výsledky studie z hlediska SPIR sledovat</w:t>
      </w:r>
    </w:p>
  </w:footnote>
  <w:footnote w:id="62">
    <w:p w:rsidR="00CE7979" w:rsidRDefault="00CE7979" w:rsidP="00CF6076">
      <w:pPr>
        <w:pStyle w:val="Textpoznpodarou"/>
      </w:pPr>
      <w:r>
        <w:rPr>
          <w:rStyle w:val="Znakapoznpodarou"/>
        </w:rPr>
        <w:footnoteRef/>
      </w:r>
      <w:r>
        <w:t xml:space="preserve"> Prohlubováním dovedností se pro účely této studie nerozumí hraní her na facebooku a dalších sociálních sítí ani hraní online her typu World of Warcraft apod.</w:t>
      </w:r>
    </w:p>
  </w:footnote>
  <w:footnote w:id="63">
    <w:p w:rsidR="00CE7979" w:rsidRDefault="00CE7979" w:rsidP="00CF6076">
      <w:pPr>
        <w:pStyle w:val="Textpoznpodarou"/>
      </w:pPr>
      <w:r>
        <w:rPr>
          <w:rStyle w:val="Znakapoznpodarou"/>
        </w:rPr>
        <w:footnoteRef/>
      </w:r>
      <w:r>
        <w:t xml:space="preserve"> </w:t>
      </w:r>
      <w:hyperlink r:id="rId3" w:history="1">
        <w:r>
          <w:rPr>
            <w:rStyle w:val="Hypertextovodkaz"/>
          </w:rPr>
          <w:t>http://www.kellnerfoundation.cz/?page=194</w:t>
        </w:r>
      </w:hyperlink>
    </w:p>
  </w:footnote>
  <w:footnote w:id="64">
    <w:p w:rsidR="00CE7979" w:rsidRDefault="00CE7979" w:rsidP="00CF6076">
      <w:pPr>
        <w:pStyle w:val="Textpoznpodarou"/>
      </w:pPr>
      <w:r>
        <w:rPr>
          <w:rStyle w:val="Znakapoznpodarou"/>
        </w:rPr>
        <w:footnoteRef/>
      </w:r>
      <w:r>
        <w:t xml:space="preserve"> </w:t>
      </w:r>
      <w:hyperlink r:id="rId4" w:history="1">
        <w:r w:rsidRPr="00B344DE">
          <w:rPr>
            <w:rStyle w:val="Hypertextovodkaz"/>
          </w:rPr>
          <w:t>http://www.matematikaschuti.info/</w:t>
        </w:r>
      </w:hyperlink>
      <w:r>
        <w:t xml:space="preserve"> </w:t>
      </w:r>
    </w:p>
  </w:footnote>
  <w:footnote w:id="65">
    <w:p w:rsidR="00CE7979" w:rsidRDefault="00CE7979" w:rsidP="00CF6076">
      <w:pPr>
        <w:pStyle w:val="Textpoznpodarou"/>
      </w:pPr>
      <w:r>
        <w:rPr>
          <w:rStyle w:val="Znakapoznpodarou"/>
        </w:rPr>
        <w:footnoteRef/>
      </w:r>
      <w:r>
        <w:t xml:space="preserve"> </w:t>
      </w:r>
      <w:hyperlink r:id="rId5" w:history="1">
        <w:r>
          <w:rPr>
            <w:rStyle w:val="Hypertextovodkaz"/>
          </w:rPr>
          <w:t>http://www.in-generation.com/cs/</w:t>
        </w:r>
      </w:hyperlink>
    </w:p>
  </w:footnote>
  <w:footnote w:id="66">
    <w:p w:rsidR="00CE7979" w:rsidRDefault="00CE7979" w:rsidP="00CF6076">
      <w:pPr>
        <w:pStyle w:val="Textpoznpodarou"/>
      </w:pPr>
      <w:r>
        <w:rPr>
          <w:rStyle w:val="Znakapoznpodarou"/>
        </w:rPr>
        <w:footnoteRef/>
      </w:r>
      <w:r>
        <w:t xml:space="preserve"> </w:t>
      </w:r>
      <w:hyperlink r:id="rId6" w:history="1">
        <w:r>
          <w:rPr>
            <w:rStyle w:val="Hypertextovodkaz"/>
          </w:rPr>
          <w:t>http://www.cnb.cz/cs/spotrebitel/financni_gramotnost/index.html</w:t>
        </w:r>
      </w:hyperlink>
    </w:p>
  </w:footnote>
  <w:footnote w:id="67">
    <w:p w:rsidR="00CE7979" w:rsidRDefault="00CE7979" w:rsidP="00CF6076">
      <w:pPr>
        <w:pStyle w:val="Textpoznpodarou"/>
      </w:pPr>
      <w:r>
        <w:rPr>
          <w:rStyle w:val="Znakapoznpodarou"/>
        </w:rPr>
        <w:footnoteRef/>
      </w:r>
      <w:r>
        <w:t xml:space="preserve"> Existují jednotlivé inciativy – např. </w:t>
      </w:r>
      <w:hyperlink r:id="rId7" w:history="1">
        <w:r>
          <w:rPr>
            <w:rStyle w:val="Hypertextovodkaz"/>
          </w:rPr>
          <w:t>http://www.jaknainternet.cz/page/1200/internet-a-seniori/</w:t>
        </w:r>
      </w:hyperlink>
      <w:r>
        <w:t xml:space="preserve"> (CZ.NIC), </w:t>
      </w:r>
      <w:hyperlink r:id="rId8" w:history="1">
        <w:r>
          <w:rPr>
            <w:rStyle w:val="Hypertextovodkaz"/>
          </w:rPr>
          <w:t>http://www.e-senior.cz/www/</w:t>
        </w:r>
      </w:hyperlink>
      <w:r>
        <w:t xml:space="preserve"> (ČZU a Iuridicum Remedium) nebo </w:t>
      </w:r>
      <w:hyperlink r:id="rId9" w:history="1">
        <w:r>
          <w:rPr>
            <w:rStyle w:val="Hypertextovodkaz"/>
          </w:rPr>
          <w:t>http://www.helpnet.cz/seniori/weby-pro-seniory</w:t>
        </w:r>
      </w:hyperlink>
      <w:r>
        <w:t xml:space="preserve"> (weby nejen pro seniory, ale i pro další skupiny osob se speciálními potřebami), nicméně silná platforma zajišťující větší mediální publicitu a známost projektů zatím spíše chybí.</w:t>
      </w:r>
    </w:p>
  </w:footnote>
  <w:footnote w:id="68">
    <w:p w:rsidR="00CE7979" w:rsidRDefault="00CE7979" w:rsidP="00CF6076">
      <w:pPr>
        <w:pStyle w:val="Textpoznpodarou"/>
      </w:pPr>
      <w:r>
        <w:rPr>
          <w:rStyle w:val="Znakapoznpodarou"/>
        </w:rPr>
        <w:footnoteRef/>
      </w:r>
      <w:r>
        <w:t xml:space="preserve"> Projekty zaměřené například na zachovávání sociálních vazeb méně mobilních seniorů, dále projekty zaměřené například na lékařské služby poskytované dálkovým způsobem pomocí internetu, zajišťování nákupů a dalších životních potřeb dálkovým způsobem apod.</w:t>
      </w:r>
    </w:p>
  </w:footnote>
  <w:footnote w:id="69">
    <w:p w:rsidR="00CE7979" w:rsidRDefault="00CE7979">
      <w:pPr>
        <w:pStyle w:val="Textpoznpodarou"/>
      </w:pPr>
      <w:r>
        <w:rPr>
          <w:rStyle w:val="Znakapoznpodarou"/>
        </w:rPr>
        <w:footnoteRef/>
      </w:r>
      <w:r>
        <w:t xml:space="preserve"> Parafráze vyjádření při konzultacích</w:t>
      </w:r>
    </w:p>
  </w:footnote>
  <w:footnote w:id="70">
    <w:p w:rsidR="00CE7979" w:rsidRDefault="00CE7979">
      <w:pPr>
        <w:pStyle w:val="Textpoznpodarou"/>
      </w:pPr>
      <w:r>
        <w:rPr>
          <w:rStyle w:val="Znakapoznpodarou"/>
        </w:rPr>
        <w:footnoteRef/>
      </w:r>
      <w:r>
        <w:t xml:space="preserve"> Parafráze vyjádření při konzultacích</w:t>
      </w:r>
    </w:p>
  </w:footnote>
  <w:footnote w:id="71">
    <w:p w:rsidR="00CE7979" w:rsidRDefault="00CE7979" w:rsidP="00CF6076">
      <w:pPr>
        <w:pStyle w:val="Textpoznpodarou"/>
      </w:pPr>
      <w:r>
        <w:rPr>
          <w:rStyle w:val="Znakapoznpodarou"/>
        </w:rPr>
        <w:footnoteRef/>
      </w:r>
      <w:r>
        <w:t xml:space="preserve"> Např. pro profesi Strojní investic a engineeringu se uvádí nutnost Počítačové způsobilosti na úrovni 3, což znamená, že ovládá pokročilejší ovládání počítače (databáze, převody mezi kancelářskými aplikacemi, řešení jednodušších problémů), používá nové aplikace, uvědomuje si analogie ve funkcích a ve způsobu ovládání různých aplikací, využívá funkcí jednotlivých aplikací (vzorce, formátování, grafická animace)</w:t>
      </w:r>
    </w:p>
  </w:footnote>
  <w:footnote w:id="72">
    <w:p w:rsidR="00CE7979" w:rsidRDefault="00CE7979">
      <w:pPr>
        <w:pStyle w:val="Textpoznpodarou"/>
      </w:pPr>
      <w:r>
        <w:rPr>
          <w:rStyle w:val="Znakapoznpodarou"/>
        </w:rPr>
        <w:footnoteRef/>
      </w:r>
      <w:r>
        <w:t xml:space="preserve"> Parafráze výroku z konzultací.</w:t>
      </w:r>
    </w:p>
  </w:footnote>
  <w:footnote w:id="73">
    <w:p w:rsidR="00CE7979" w:rsidRDefault="00CE7979" w:rsidP="00087681">
      <w:pPr>
        <w:pStyle w:val="Textpoznpodarou"/>
      </w:pPr>
      <w:r>
        <w:rPr>
          <w:rStyle w:val="Znakapoznpodarou"/>
        </w:rPr>
        <w:footnoteRef/>
      </w:r>
      <w:r>
        <w:t xml:space="preserve"> Studie je dostupná na </w:t>
      </w:r>
      <w:r w:rsidRPr="00331FD0">
        <w:t>http://www.forbes.com/sites/aileron/2013/05/01/why-your-small-business-needs-crm/</w:t>
      </w:r>
      <w:r>
        <w:t xml:space="preserve"> </w:t>
      </w:r>
    </w:p>
  </w:footnote>
  <w:footnote w:id="74">
    <w:p w:rsidR="00CE7979" w:rsidRDefault="00CE7979" w:rsidP="00732099">
      <w:pPr>
        <w:pStyle w:val="Textpoznpodarou"/>
      </w:pPr>
      <w:r>
        <w:rPr>
          <w:rStyle w:val="Znakapoznpodarou"/>
        </w:rPr>
        <w:footnoteRef/>
      </w:r>
      <w:r>
        <w:t xml:space="preserve"> Studie je dostupná na </w:t>
      </w:r>
      <w:r w:rsidRPr="00331FD0">
        <w:t>http://www.oecd.org/sti/40781696.pdf</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C6FD3"/>
    <w:multiLevelType w:val="hybridMultilevel"/>
    <w:tmpl w:val="59AEE5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B5B53EB"/>
    <w:multiLevelType w:val="hybridMultilevel"/>
    <w:tmpl w:val="C3B0C68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F7D5917"/>
    <w:multiLevelType w:val="hybridMultilevel"/>
    <w:tmpl w:val="FF7A74B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D9055A2"/>
    <w:multiLevelType w:val="hybridMultilevel"/>
    <w:tmpl w:val="BBF2C0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23F356AB"/>
    <w:multiLevelType w:val="hybridMultilevel"/>
    <w:tmpl w:val="5900C7D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2D7D6284"/>
    <w:multiLevelType w:val="hybridMultilevel"/>
    <w:tmpl w:val="616CC1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329A7890"/>
    <w:multiLevelType w:val="multilevel"/>
    <w:tmpl w:val="DEA88368"/>
    <w:lvl w:ilvl="0">
      <w:start w:val="1"/>
      <w:numFmt w:val="decimal"/>
      <w:pStyle w:val="Nadpis1"/>
      <w:lvlText w:val="%1"/>
      <w:lvlJc w:val="left"/>
      <w:pPr>
        <w:ind w:left="574" w:hanging="432"/>
      </w:pPr>
    </w:lvl>
    <w:lvl w:ilvl="1">
      <w:start w:val="1"/>
      <w:numFmt w:val="decimal"/>
      <w:pStyle w:val="Nadpis2"/>
      <w:lvlText w:val="%1.%2"/>
      <w:lvlJc w:val="left"/>
      <w:pPr>
        <w:ind w:left="860"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7">
    <w:nsid w:val="37353B90"/>
    <w:multiLevelType w:val="hybridMultilevel"/>
    <w:tmpl w:val="FA80B6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3F93238F"/>
    <w:multiLevelType w:val="hybridMultilevel"/>
    <w:tmpl w:val="B77815D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44511564"/>
    <w:multiLevelType w:val="hybridMultilevel"/>
    <w:tmpl w:val="9D20843A"/>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nsid w:val="49A20B52"/>
    <w:multiLevelType w:val="hybridMultilevel"/>
    <w:tmpl w:val="F17A68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4D017713"/>
    <w:multiLevelType w:val="hybridMultilevel"/>
    <w:tmpl w:val="3AC4B954"/>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nsid w:val="4E170FF7"/>
    <w:multiLevelType w:val="hybridMultilevel"/>
    <w:tmpl w:val="2D3487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4EBF418B"/>
    <w:multiLevelType w:val="hybridMultilevel"/>
    <w:tmpl w:val="A29A88EA"/>
    <w:lvl w:ilvl="0" w:tplc="04050001">
      <w:start w:val="1"/>
      <w:numFmt w:val="bullet"/>
      <w:lvlText w:val=""/>
      <w:lvlJc w:val="left"/>
      <w:pPr>
        <w:ind w:left="720" w:hanging="360"/>
      </w:pPr>
      <w:rPr>
        <w:rFonts w:ascii="Symbol" w:hAnsi="Symbol" w:hint="default"/>
      </w:rPr>
    </w:lvl>
    <w:lvl w:ilvl="1" w:tplc="E356FFF6">
      <w:numFmt w:val="bullet"/>
      <w:lvlText w:val="•"/>
      <w:lvlJc w:val="left"/>
      <w:pPr>
        <w:ind w:left="1440" w:hanging="360"/>
      </w:pPr>
      <w:rPr>
        <w:rFonts w:ascii="Garamond" w:eastAsia="Calibri" w:hAnsi="Garamond"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4FEF54E9"/>
    <w:multiLevelType w:val="hybridMultilevel"/>
    <w:tmpl w:val="E3F2776A"/>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nsid w:val="69FC4372"/>
    <w:multiLevelType w:val="hybridMultilevel"/>
    <w:tmpl w:val="7D86F5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715D57EE"/>
    <w:multiLevelType w:val="hybridMultilevel"/>
    <w:tmpl w:val="75C8063E"/>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
    <w:nsid w:val="72DB100D"/>
    <w:multiLevelType w:val="hybridMultilevel"/>
    <w:tmpl w:val="7BC015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78940A56"/>
    <w:multiLevelType w:val="hybridMultilevel"/>
    <w:tmpl w:val="4FF4B6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7AEE49BA"/>
    <w:multiLevelType w:val="hybridMultilevel"/>
    <w:tmpl w:val="2F08A1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6"/>
  </w:num>
  <w:num w:numId="12">
    <w:abstractNumId w:val="6"/>
  </w:num>
  <w:num w:numId="13">
    <w:abstractNumId w:val="6"/>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15"/>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16"/>
  </w:num>
  <w:num w:numId="28">
    <w:abstractNumId w:val="4"/>
  </w:num>
  <w:num w:numId="29">
    <w:abstractNumId w:val="8"/>
  </w:num>
  <w:num w:numId="30">
    <w:abstractNumId w:val="17"/>
  </w:num>
  <w:num w:numId="31">
    <w:abstractNumId w:val="13"/>
  </w:num>
  <w:num w:numId="32">
    <w:abstractNumId w:val="7"/>
  </w:num>
  <w:num w:numId="33">
    <w:abstractNumId w:val="14"/>
  </w:num>
  <w:num w:numId="34">
    <w:abstractNumId w:val="19"/>
  </w:num>
  <w:num w:numId="35">
    <w:abstractNumId w:val="0"/>
  </w:num>
  <w:num w:numId="36">
    <w:abstractNumId w:val="12"/>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5"/>
  </w:num>
  <w:num w:numId="40">
    <w:abstractNumId w:val="18"/>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num>
  <w:num w:numId="4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8194"/>
  </w:hdrShapeDefaults>
  <w:footnotePr>
    <w:footnote w:id="-1"/>
    <w:footnote w:id="0"/>
  </w:footnotePr>
  <w:endnotePr>
    <w:endnote w:id="-1"/>
    <w:endnote w:id="0"/>
  </w:endnotePr>
  <w:compat/>
  <w:rsids>
    <w:rsidRoot w:val="00146FED"/>
    <w:rsid w:val="00005A29"/>
    <w:rsid w:val="0001507A"/>
    <w:rsid w:val="00017D1A"/>
    <w:rsid w:val="00021645"/>
    <w:rsid w:val="000240E7"/>
    <w:rsid w:val="0003024C"/>
    <w:rsid w:val="00030646"/>
    <w:rsid w:val="0003731C"/>
    <w:rsid w:val="00044315"/>
    <w:rsid w:val="00044754"/>
    <w:rsid w:val="00045FF8"/>
    <w:rsid w:val="00052EE5"/>
    <w:rsid w:val="0006108B"/>
    <w:rsid w:val="00062085"/>
    <w:rsid w:val="000622A9"/>
    <w:rsid w:val="000633BD"/>
    <w:rsid w:val="00064E29"/>
    <w:rsid w:val="00065D3F"/>
    <w:rsid w:val="00066476"/>
    <w:rsid w:val="00077F28"/>
    <w:rsid w:val="00080D64"/>
    <w:rsid w:val="000846E9"/>
    <w:rsid w:val="00087681"/>
    <w:rsid w:val="00093434"/>
    <w:rsid w:val="00095066"/>
    <w:rsid w:val="00096389"/>
    <w:rsid w:val="000A2229"/>
    <w:rsid w:val="000A6A6F"/>
    <w:rsid w:val="000A7436"/>
    <w:rsid w:val="000B49C5"/>
    <w:rsid w:val="000C2103"/>
    <w:rsid w:val="000C6800"/>
    <w:rsid w:val="000C7B3C"/>
    <w:rsid w:val="000D10D4"/>
    <w:rsid w:val="000D5BD4"/>
    <w:rsid w:val="000D7486"/>
    <w:rsid w:val="000E2BD2"/>
    <w:rsid w:val="000E700D"/>
    <w:rsid w:val="000F00E5"/>
    <w:rsid w:val="000F60AE"/>
    <w:rsid w:val="001207D2"/>
    <w:rsid w:val="0012435B"/>
    <w:rsid w:val="0012591E"/>
    <w:rsid w:val="00127706"/>
    <w:rsid w:val="00127D4E"/>
    <w:rsid w:val="001445AF"/>
    <w:rsid w:val="00146FED"/>
    <w:rsid w:val="001507AD"/>
    <w:rsid w:val="001519E3"/>
    <w:rsid w:val="00156366"/>
    <w:rsid w:val="00165077"/>
    <w:rsid w:val="00174BAB"/>
    <w:rsid w:val="00175DDA"/>
    <w:rsid w:val="00177837"/>
    <w:rsid w:val="00177F43"/>
    <w:rsid w:val="00180250"/>
    <w:rsid w:val="001857FD"/>
    <w:rsid w:val="00187085"/>
    <w:rsid w:val="0018738D"/>
    <w:rsid w:val="001910A7"/>
    <w:rsid w:val="001A1F7B"/>
    <w:rsid w:val="001A618F"/>
    <w:rsid w:val="001A71B7"/>
    <w:rsid w:val="001A7FC2"/>
    <w:rsid w:val="001B25EA"/>
    <w:rsid w:val="001C1A4F"/>
    <w:rsid w:val="001C279D"/>
    <w:rsid w:val="001C2C08"/>
    <w:rsid w:val="001C5824"/>
    <w:rsid w:val="001D306F"/>
    <w:rsid w:val="001E6EDD"/>
    <w:rsid w:val="001E7783"/>
    <w:rsid w:val="001F29EF"/>
    <w:rsid w:val="001F3ED7"/>
    <w:rsid w:val="001F47BF"/>
    <w:rsid w:val="001F5BB8"/>
    <w:rsid w:val="0020048B"/>
    <w:rsid w:val="00207F0E"/>
    <w:rsid w:val="00210CF5"/>
    <w:rsid w:val="002159BC"/>
    <w:rsid w:val="0021658A"/>
    <w:rsid w:val="0022582E"/>
    <w:rsid w:val="00225DD0"/>
    <w:rsid w:val="00232BC0"/>
    <w:rsid w:val="00233AAB"/>
    <w:rsid w:val="0024270E"/>
    <w:rsid w:val="002438D7"/>
    <w:rsid w:val="002449C5"/>
    <w:rsid w:val="00256AB6"/>
    <w:rsid w:val="00256FB3"/>
    <w:rsid w:val="00263693"/>
    <w:rsid w:val="002645B4"/>
    <w:rsid w:val="00270F09"/>
    <w:rsid w:val="00271231"/>
    <w:rsid w:val="00274616"/>
    <w:rsid w:val="0027596C"/>
    <w:rsid w:val="002767FF"/>
    <w:rsid w:val="002774F6"/>
    <w:rsid w:val="00281DF7"/>
    <w:rsid w:val="00281E3C"/>
    <w:rsid w:val="002849E7"/>
    <w:rsid w:val="0028736D"/>
    <w:rsid w:val="002A571F"/>
    <w:rsid w:val="002A707A"/>
    <w:rsid w:val="002B5100"/>
    <w:rsid w:val="002C2A2D"/>
    <w:rsid w:val="002C7C2B"/>
    <w:rsid w:val="002D09E9"/>
    <w:rsid w:val="002D1848"/>
    <w:rsid w:val="002D403A"/>
    <w:rsid w:val="002E1848"/>
    <w:rsid w:val="002E367A"/>
    <w:rsid w:val="002E4BD3"/>
    <w:rsid w:val="002E79E4"/>
    <w:rsid w:val="002F22E3"/>
    <w:rsid w:val="002F3502"/>
    <w:rsid w:val="002F3E1E"/>
    <w:rsid w:val="003050B3"/>
    <w:rsid w:val="00306CB4"/>
    <w:rsid w:val="00307466"/>
    <w:rsid w:val="003174B1"/>
    <w:rsid w:val="00324804"/>
    <w:rsid w:val="00325072"/>
    <w:rsid w:val="0034045B"/>
    <w:rsid w:val="00343B94"/>
    <w:rsid w:val="0035077E"/>
    <w:rsid w:val="00352ABF"/>
    <w:rsid w:val="00352BED"/>
    <w:rsid w:val="00352EFE"/>
    <w:rsid w:val="00354219"/>
    <w:rsid w:val="00364642"/>
    <w:rsid w:val="00366EBD"/>
    <w:rsid w:val="00373016"/>
    <w:rsid w:val="00374CBB"/>
    <w:rsid w:val="00377CC3"/>
    <w:rsid w:val="00395532"/>
    <w:rsid w:val="003963DE"/>
    <w:rsid w:val="00397915"/>
    <w:rsid w:val="003A0175"/>
    <w:rsid w:val="003A0879"/>
    <w:rsid w:val="003A218D"/>
    <w:rsid w:val="003A2D2F"/>
    <w:rsid w:val="003A3F25"/>
    <w:rsid w:val="003B4EB8"/>
    <w:rsid w:val="003B5882"/>
    <w:rsid w:val="003B7E7E"/>
    <w:rsid w:val="003C76EE"/>
    <w:rsid w:val="003D50C1"/>
    <w:rsid w:val="003D7E38"/>
    <w:rsid w:val="003E04DA"/>
    <w:rsid w:val="003E14F2"/>
    <w:rsid w:val="003E447A"/>
    <w:rsid w:val="003E45AC"/>
    <w:rsid w:val="003F0325"/>
    <w:rsid w:val="003F30EF"/>
    <w:rsid w:val="0040543C"/>
    <w:rsid w:val="004138F2"/>
    <w:rsid w:val="00421A8C"/>
    <w:rsid w:val="004220E5"/>
    <w:rsid w:val="00425A3D"/>
    <w:rsid w:val="00442AEA"/>
    <w:rsid w:val="004467C3"/>
    <w:rsid w:val="004515F2"/>
    <w:rsid w:val="00460BA7"/>
    <w:rsid w:val="004625C5"/>
    <w:rsid w:val="00462F53"/>
    <w:rsid w:val="00467841"/>
    <w:rsid w:val="0047044C"/>
    <w:rsid w:val="00475036"/>
    <w:rsid w:val="00482F58"/>
    <w:rsid w:val="00487F13"/>
    <w:rsid w:val="0049025D"/>
    <w:rsid w:val="004908EB"/>
    <w:rsid w:val="004958B8"/>
    <w:rsid w:val="004A05C2"/>
    <w:rsid w:val="004A0C69"/>
    <w:rsid w:val="004B3D6C"/>
    <w:rsid w:val="004B4C9A"/>
    <w:rsid w:val="004B57D5"/>
    <w:rsid w:val="004C049C"/>
    <w:rsid w:val="004D1B6C"/>
    <w:rsid w:val="004D2F91"/>
    <w:rsid w:val="004D3B84"/>
    <w:rsid w:val="004E1760"/>
    <w:rsid w:val="004F0877"/>
    <w:rsid w:val="004F4DF2"/>
    <w:rsid w:val="004F7BFA"/>
    <w:rsid w:val="00500285"/>
    <w:rsid w:val="00506242"/>
    <w:rsid w:val="005078C9"/>
    <w:rsid w:val="00510BBC"/>
    <w:rsid w:val="00512D26"/>
    <w:rsid w:val="00514650"/>
    <w:rsid w:val="00521E97"/>
    <w:rsid w:val="00522E11"/>
    <w:rsid w:val="00523A8F"/>
    <w:rsid w:val="00526082"/>
    <w:rsid w:val="00540FA4"/>
    <w:rsid w:val="0054201F"/>
    <w:rsid w:val="00553C1E"/>
    <w:rsid w:val="005614C3"/>
    <w:rsid w:val="00563C72"/>
    <w:rsid w:val="00577C50"/>
    <w:rsid w:val="005900D9"/>
    <w:rsid w:val="00594DF4"/>
    <w:rsid w:val="005A0603"/>
    <w:rsid w:val="005B08AF"/>
    <w:rsid w:val="005E0412"/>
    <w:rsid w:val="005E68F0"/>
    <w:rsid w:val="005F1AF1"/>
    <w:rsid w:val="005F453C"/>
    <w:rsid w:val="005F5024"/>
    <w:rsid w:val="005F792E"/>
    <w:rsid w:val="006038B4"/>
    <w:rsid w:val="00603B87"/>
    <w:rsid w:val="006066A5"/>
    <w:rsid w:val="00611376"/>
    <w:rsid w:val="0061533A"/>
    <w:rsid w:val="00615893"/>
    <w:rsid w:val="0061724B"/>
    <w:rsid w:val="00621711"/>
    <w:rsid w:val="00630A40"/>
    <w:rsid w:val="00631919"/>
    <w:rsid w:val="00634AFD"/>
    <w:rsid w:val="00635E3D"/>
    <w:rsid w:val="006371FC"/>
    <w:rsid w:val="0064719E"/>
    <w:rsid w:val="00661E50"/>
    <w:rsid w:val="00662B3C"/>
    <w:rsid w:val="00671442"/>
    <w:rsid w:val="00672E0D"/>
    <w:rsid w:val="006732A5"/>
    <w:rsid w:val="00673DF2"/>
    <w:rsid w:val="00676171"/>
    <w:rsid w:val="00677996"/>
    <w:rsid w:val="00677F58"/>
    <w:rsid w:val="00690A78"/>
    <w:rsid w:val="00692A5F"/>
    <w:rsid w:val="00696421"/>
    <w:rsid w:val="006A58EF"/>
    <w:rsid w:val="006A7E7F"/>
    <w:rsid w:val="006B0083"/>
    <w:rsid w:val="006B0B6D"/>
    <w:rsid w:val="006B7CFE"/>
    <w:rsid w:val="006C5C40"/>
    <w:rsid w:val="006C6C1F"/>
    <w:rsid w:val="006D19F6"/>
    <w:rsid w:val="006D2EC3"/>
    <w:rsid w:val="006E0CD1"/>
    <w:rsid w:val="006E360A"/>
    <w:rsid w:val="006E5C0D"/>
    <w:rsid w:val="006F627A"/>
    <w:rsid w:val="006F74C9"/>
    <w:rsid w:val="00700039"/>
    <w:rsid w:val="0070080D"/>
    <w:rsid w:val="00705E27"/>
    <w:rsid w:val="00715449"/>
    <w:rsid w:val="007167CF"/>
    <w:rsid w:val="0072238D"/>
    <w:rsid w:val="00723022"/>
    <w:rsid w:val="00723964"/>
    <w:rsid w:val="00725A95"/>
    <w:rsid w:val="007269F1"/>
    <w:rsid w:val="0073195F"/>
    <w:rsid w:val="00731989"/>
    <w:rsid w:val="00732099"/>
    <w:rsid w:val="00740EB0"/>
    <w:rsid w:val="00751CD3"/>
    <w:rsid w:val="00752B1C"/>
    <w:rsid w:val="00764C60"/>
    <w:rsid w:val="00786CAA"/>
    <w:rsid w:val="00793239"/>
    <w:rsid w:val="00794F64"/>
    <w:rsid w:val="007A2AFE"/>
    <w:rsid w:val="007B1BE4"/>
    <w:rsid w:val="007B1DD0"/>
    <w:rsid w:val="007B6A99"/>
    <w:rsid w:val="007C48E9"/>
    <w:rsid w:val="007D0BDB"/>
    <w:rsid w:val="007D37A7"/>
    <w:rsid w:val="007D51C1"/>
    <w:rsid w:val="007D6B28"/>
    <w:rsid w:val="007D71A2"/>
    <w:rsid w:val="007D7573"/>
    <w:rsid w:val="007D7DFC"/>
    <w:rsid w:val="007E73E4"/>
    <w:rsid w:val="007E7FF8"/>
    <w:rsid w:val="00800673"/>
    <w:rsid w:val="0080590A"/>
    <w:rsid w:val="00807B20"/>
    <w:rsid w:val="00807FA6"/>
    <w:rsid w:val="00815833"/>
    <w:rsid w:val="00822FAA"/>
    <w:rsid w:val="0084002E"/>
    <w:rsid w:val="00842863"/>
    <w:rsid w:val="00842E9F"/>
    <w:rsid w:val="00854874"/>
    <w:rsid w:val="00870F70"/>
    <w:rsid w:val="00895EFF"/>
    <w:rsid w:val="008A1618"/>
    <w:rsid w:val="008A6948"/>
    <w:rsid w:val="008B1E43"/>
    <w:rsid w:val="008B5122"/>
    <w:rsid w:val="008D2FEF"/>
    <w:rsid w:val="008D7696"/>
    <w:rsid w:val="008E2303"/>
    <w:rsid w:val="008E3B85"/>
    <w:rsid w:val="008E4D99"/>
    <w:rsid w:val="008F48EB"/>
    <w:rsid w:val="008F7629"/>
    <w:rsid w:val="008F7862"/>
    <w:rsid w:val="00900F8D"/>
    <w:rsid w:val="00901BC3"/>
    <w:rsid w:val="00905481"/>
    <w:rsid w:val="00905D93"/>
    <w:rsid w:val="00913CC5"/>
    <w:rsid w:val="00930F13"/>
    <w:rsid w:val="0093707C"/>
    <w:rsid w:val="00942F83"/>
    <w:rsid w:val="009466A1"/>
    <w:rsid w:val="00947987"/>
    <w:rsid w:val="009503DA"/>
    <w:rsid w:val="00960289"/>
    <w:rsid w:val="009659EF"/>
    <w:rsid w:val="00967002"/>
    <w:rsid w:val="00971C15"/>
    <w:rsid w:val="00982F4E"/>
    <w:rsid w:val="00986250"/>
    <w:rsid w:val="00992905"/>
    <w:rsid w:val="00993DB7"/>
    <w:rsid w:val="009A12F0"/>
    <w:rsid w:val="009C0915"/>
    <w:rsid w:val="009C0929"/>
    <w:rsid w:val="009C584A"/>
    <w:rsid w:val="009C769F"/>
    <w:rsid w:val="009D37C8"/>
    <w:rsid w:val="009D4C27"/>
    <w:rsid w:val="009D6607"/>
    <w:rsid w:val="009F4179"/>
    <w:rsid w:val="009F4555"/>
    <w:rsid w:val="009F5A3D"/>
    <w:rsid w:val="009F7487"/>
    <w:rsid w:val="009F7F22"/>
    <w:rsid w:val="00A01304"/>
    <w:rsid w:val="00A05AFA"/>
    <w:rsid w:val="00A22D5B"/>
    <w:rsid w:val="00A23E4A"/>
    <w:rsid w:val="00A27347"/>
    <w:rsid w:val="00A32AD6"/>
    <w:rsid w:val="00A34CAB"/>
    <w:rsid w:val="00A3628E"/>
    <w:rsid w:val="00A37069"/>
    <w:rsid w:val="00A41E14"/>
    <w:rsid w:val="00A466D7"/>
    <w:rsid w:val="00A47ED4"/>
    <w:rsid w:val="00A47F49"/>
    <w:rsid w:val="00A51707"/>
    <w:rsid w:val="00A60A69"/>
    <w:rsid w:val="00A62A68"/>
    <w:rsid w:val="00A64424"/>
    <w:rsid w:val="00A6719A"/>
    <w:rsid w:val="00A72F8B"/>
    <w:rsid w:val="00A73DE5"/>
    <w:rsid w:val="00A8229F"/>
    <w:rsid w:val="00A828CC"/>
    <w:rsid w:val="00A83F1B"/>
    <w:rsid w:val="00A842EA"/>
    <w:rsid w:val="00A84AA2"/>
    <w:rsid w:val="00A92566"/>
    <w:rsid w:val="00A935E5"/>
    <w:rsid w:val="00AA26DE"/>
    <w:rsid w:val="00AA27A3"/>
    <w:rsid w:val="00AC13E6"/>
    <w:rsid w:val="00AC190D"/>
    <w:rsid w:val="00AC312A"/>
    <w:rsid w:val="00AC3C17"/>
    <w:rsid w:val="00AD29D5"/>
    <w:rsid w:val="00AD553F"/>
    <w:rsid w:val="00AE0D81"/>
    <w:rsid w:val="00AE1CE5"/>
    <w:rsid w:val="00AE434D"/>
    <w:rsid w:val="00B0157D"/>
    <w:rsid w:val="00B0384E"/>
    <w:rsid w:val="00B05A31"/>
    <w:rsid w:val="00B1035F"/>
    <w:rsid w:val="00B11FC1"/>
    <w:rsid w:val="00B1226B"/>
    <w:rsid w:val="00B21ED7"/>
    <w:rsid w:val="00B27253"/>
    <w:rsid w:val="00B332CA"/>
    <w:rsid w:val="00B4053C"/>
    <w:rsid w:val="00B47F8C"/>
    <w:rsid w:val="00B5130B"/>
    <w:rsid w:val="00B55D15"/>
    <w:rsid w:val="00B66FD5"/>
    <w:rsid w:val="00B72FBA"/>
    <w:rsid w:val="00B767F6"/>
    <w:rsid w:val="00B82FF7"/>
    <w:rsid w:val="00B87532"/>
    <w:rsid w:val="00B87DEC"/>
    <w:rsid w:val="00B902BD"/>
    <w:rsid w:val="00B93509"/>
    <w:rsid w:val="00B938CB"/>
    <w:rsid w:val="00B97185"/>
    <w:rsid w:val="00BA23AF"/>
    <w:rsid w:val="00BA626B"/>
    <w:rsid w:val="00BA6B7A"/>
    <w:rsid w:val="00BB2742"/>
    <w:rsid w:val="00BB6481"/>
    <w:rsid w:val="00BB6ED0"/>
    <w:rsid w:val="00BD03A5"/>
    <w:rsid w:val="00BD2D6F"/>
    <w:rsid w:val="00BD6AF1"/>
    <w:rsid w:val="00BE0FFD"/>
    <w:rsid w:val="00BE1E62"/>
    <w:rsid w:val="00BE2559"/>
    <w:rsid w:val="00BF1A08"/>
    <w:rsid w:val="00BF2EBE"/>
    <w:rsid w:val="00BF3797"/>
    <w:rsid w:val="00C00349"/>
    <w:rsid w:val="00C00DDC"/>
    <w:rsid w:val="00C0339A"/>
    <w:rsid w:val="00C051D5"/>
    <w:rsid w:val="00C06D3E"/>
    <w:rsid w:val="00C11558"/>
    <w:rsid w:val="00C16971"/>
    <w:rsid w:val="00C16F2A"/>
    <w:rsid w:val="00C21009"/>
    <w:rsid w:val="00C24143"/>
    <w:rsid w:val="00C2708B"/>
    <w:rsid w:val="00C32C9A"/>
    <w:rsid w:val="00C43AE2"/>
    <w:rsid w:val="00C46432"/>
    <w:rsid w:val="00C521C1"/>
    <w:rsid w:val="00C540C8"/>
    <w:rsid w:val="00C55E71"/>
    <w:rsid w:val="00C672A7"/>
    <w:rsid w:val="00C67A64"/>
    <w:rsid w:val="00C71AE7"/>
    <w:rsid w:val="00C81EC6"/>
    <w:rsid w:val="00C92DE9"/>
    <w:rsid w:val="00C942A5"/>
    <w:rsid w:val="00C97541"/>
    <w:rsid w:val="00CA70F4"/>
    <w:rsid w:val="00CB6967"/>
    <w:rsid w:val="00CC6C29"/>
    <w:rsid w:val="00CD7206"/>
    <w:rsid w:val="00CE52DA"/>
    <w:rsid w:val="00CE6056"/>
    <w:rsid w:val="00CE615F"/>
    <w:rsid w:val="00CE6175"/>
    <w:rsid w:val="00CE7979"/>
    <w:rsid w:val="00CF3C14"/>
    <w:rsid w:val="00CF6076"/>
    <w:rsid w:val="00D047EF"/>
    <w:rsid w:val="00D07374"/>
    <w:rsid w:val="00D123D4"/>
    <w:rsid w:val="00D1263C"/>
    <w:rsid w:val="00D12FD1"/>
    <w:rsid w:val="00D15979"/>
    <w:rsid w:val="00D22DDE"/>
    <w:rsid w:val="00D2692A"/>
    <w:rsid w:val="00D30A6D"/>
    <w:rsid w:val="00D32CDA"/>
    <w:rsid w:val="00D41BFB"/>
    <w:rsid w:val="00D44611"/>
    <w:rsid w:val="00D45216"/>
    <w:rsid w:val="00D512C2"/>
    <w:rsid w:val="00D544B2"/>
    <w:rsid w:val="00D557F4"/>
    <w:rsid w:val="00D624EE"/>
    <w:rsid w:val="00D74FBE"/>
    <w:rsid w:val="00D7570C"/>
    <w:rsid w:val="00D76415"/>
    <w:rsid w:val="00D87AEB"/>
    <w:rsid w:val="00D95743"/>
    <w:rsid w:val="00D95932"/>
    <w:rsid w:val="00D95F38"/>
    <w:rsid w:val="00D96054"/>
    <w:rsid w:val="00DA0599"/>
    <w:rsid w:val="00DA4DC2"/>
    <w:rsid w:val="00DB1DC6"/>
    <w:rsid w:val="00DD5144"/>
    <w:rsid w:val="00DD6223"/>
    <w:rsid w:val="00DF662A"/>
    <w:rsid w:val="00DF76E2"/>
    <w:rsid w:val="00E07624"/>
    <w:rsid w:val="00E136E4"/>
    <w:rsid w:val="00E16646"/>
    <w:rsid w:val="00E16E03"/>
    <w:rsid w:val="00E22B72"/>
    <w:rsid w:val="00E30BCE"/>
    <w:rsid w:val="00E31460"/>
    <w:rsid w:val="00E40D2B"/>
    <w:rsid w:val="00E41480"/>
    <w:rsid w:val="00E441DD"/>
    <w:rsid w:val="00E54D1B"/>
    <w:rsid w:val="00E645D0"/>
    <w:rsid w:val="00E66B7A"/>
    <w:rsid w:val="00E735B3"/>
    <w:rsid w:val="00E735E6"/>
    <w:rsid w:val="00E74D6C"/>
    <w:rsid w:val="00E85AE1"/>
    <w:rsid w:val="00E9015D"/>
    <w:rsid w:val="00E962F7"/>
    <w:rsid w:val="00EA2B98"/>
    <w:rsid w:val="00EA3631"/>
    <w:rsid w:val="00EA74DC"/>
    <w:rsid w:val="00EB648D"/>
    <w:rsid w:val="00EC1A4D"/>
    <w:rsid w:val="00EC2EC7"/>
    <w:rsid w:val="00EC496A"/>
    <w:rsid w:val="00ED144E"/>
    <w:rsid w:val="00ED295C"/>
    <w:rsid w:val="00EE302C"/>
    <w:rsid w:val="00EE3CDC"/>
    <w:rsid w:val="00EE60DE"/>
    <w:rsid w:val="00EF05BB"/>
    <w:rsid w:val="00EF5017"/>
    <w:rsid w:val="00F0138C"/>
    <w:rsid w:val="00F030B7"/>
    <w:rsid w:val="00F076C3"/>
    <w:rsid w:val="00F1130B"/>
    <w:rsid w:val="00F114E3"/>
    <w:rsid w:val="00F11E74"/>
    <w:rsid w:val="00F173F1"/>
    <w:rsid w:val="00F27DAD"/>
    <w:rsid w:val="00F37A9A"/>
    <w:rsid w:val="00F420C7"/>
    <w:rsid w:val="00F4490D"/>
    <w:rsid w:val="00F44E61"/>
    <w:rsid w:val="00F559AE"/>
    <w:rsid w:val="00F6458E"/>
    <w:rsid w:val="00F76E99"/>
    <w:rsid w:val="00F84DFE"/>
    <w:rsid w:val="00F8752C"/>
    <w:rsid w:val="00FA1742"/>
    <w:rsid w:val="00FA32E3"/>
    <w:rsid w:val="00FA6552"/>
    <w:rsid w:val="00FA6E13"/>
    <w:rsid w:val="00FC0C56"/>
    <w:rsid w:val="00FC4A9D"/>
    <w:rsid w:val="00FC5796"/>
    <w:rsid w:val="00FC6AD9"/>
    <w:rsid w:val="00FC7505"/>
    <w:rsid w:val="00FD0B65"/>
    <w:rsid w:val="00FD4F4C"/>
    <w:rsid w:val="00FE1E97"/>
    <w:rsid w:val="00FE539B"/>
    <w:rsid w:val="00FF7B1A"/>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30A40"/>
    <w:pPr>
      <w:spacing w:before="120" w:after="120"/>
      <w:jc w:val="both"/>
    </w:pPr>
    <w:rPr>
      <w:rFonts w:ascii="Garamond" w:hAnsi="Garamond"/>
      <w:sz w:val="24"/>
      <w:szCs w:val="22"/>
      <w:lang w:eastAsia="en-US"/>
    </w:rPr>
  </w:style>
  <w:style w:type="paragraph" w:styleId="Nadpis1">
    <w:name w:val="heading 1"/>
    <w:basedOn w:val="Normln"/>
    <w:next w:val="Normln"/>
    <w:link w:val="Nadpis1Char"/>
    <w:uiPriority w:val="99"/>
    <w:qFormat/>
    <w:rsid w:val="00630A40"/>
    <w:pPr>
      <w:keepNext/>
      <w:keepLines/>
      <w:numPr>
        <w:numId w:val="19"/>
      </w:numPr>
      <w:spacing w:before="480" w:after="0"/>
      <w:outlineLvl w:val="0"/>
    </w:pPr>
    <w:rPr>
      <w:rFonts w:ascii="Cambria" w:eastAsia="Times New Roman" w:hAnsi="Cambria"/>
      <w:b/>
      <w:bCs/>
      <w:color w:val="B6B002"/>
      <w:sz w:val="28"/>
      <w:szCs w:val="28"/>
    </w:rPr>
  </w:style>
  <w:style w:type="paragraph" w:styleId="Nadpis2">
    <w:name w:val="heading 2"/>
    <w:basedOn w:val="Normln"/>
    <w:next w:val="Normln"/>
    <w:link w:val="Nadpis2Char"/>
    <w:uiPriority w:val="99"/>
    <w:qFormat/>
    <w:rsid w:val="00630A40"/>
    <w:pPr>
      <w:keepNext/>
      <w:keepLines/>
      <w:numPr>
        <w:ilvl w:val="1"/>
        <w:numId w:val="19"/>
      </w:numPr>
      <w:spacing w:before="200" w:after="0"/>
      <w:outlineLvl w:val="1"/>
    </w:pPr>
    <w:rPr>
      <w:rFonts w:ascii="Cambria" w:eastAsia="Times New Roman" w:hAnsi="Cambria"/>
      <w:b/>
      <w:bCs/>
      <w:color w:val="B6B002"/>
      <w:sz w:val="26"/>
      <w:szCs w:val="26"/>
    </w:rPr>
  </w:style>
  <w:style w:type="paragraph" w:styleId="Nadpis3">
    <w:name w:val="heading 3"/>
    <w:basedOn w:val="Normln"/>
    <w:next w:val="Normln"/>
    <w:link w:val="Nadpis3Char"/>
    <w:uiPriority w:val="99"/>
    <w:qFormat/>
    <w:rsid w:val="00630A40"/>
    <w:pPr>
      <w:keepNext/>
      <w:keepLines/>
      <w:numPr>
        <w:ilvl w:val="2"/>
        <w:numId w:val="19"/>
      </w:numPr>
      <w:spacing w:before="200" w:after="0"/>
      <w:outlineLvl w:val="2"/>
    </w:pPr>
    <w:rPr>
      <w:rFonts w:ascii="Cambria" w:eastAsia="Times New Roman" w:hAnsi="Cambria"/>
      <w:b/>
      <w:bCs/>
      <w:color w:val="B6B002"/>
    </w:rPr>
  </w:style>
  <w:style w:type="paragraph" w:styleId="Nadpis4">
    <w:name w:val="heading 4"/>
    <w:basedOn w:val="Normln"/>
    <w:next w:val="Normln"/>
    <w:link w:val="Nadpis4Char"/>
    <w:uiPriority w:val="99"/>
    <w:qFormat/>
    <w:rsid w:val="00630A40"/>
    <w:pPr>
      <w:keepNext/>
      <w:keepLines/>
      <w:numPr>
        <w:ilvl w:val="3"/>
        <w:numId w:val="19"/>
      </w:numPr>
      <w:spacing w:before="200" w:after="0"/>
      <w:outlineLvl w:val="3"/>
    </w:pPr>
    <w:rPr>
      <w:rFonts w:ascii="Cambria" w:eastAsia="Times New Roman" w:hAnsi="Cambria"/>
      <w:b/>
      <w:bCs/>
      <w:i/>
      <w:iCs/>
      <w:color w:val="AC9B02"/>
    </w:rPr>
  </w:style>
  <w:style w:type="paragraph" w:styleId="Nadpis5">
    <w:name w:val="heading 5"/>
    <w:basedOn w:val="Normln"/>
    <w:next w:val="Normln"/>
    <w:link w:val="Nadpis5Char"/>
    <w:uiPriority w:val="99"/>
    <w:qFormat/>
    <w:rsid w:val="00630A40"/>
    <w:pPr>
      <w:numPr>
        <w:ilvl w:val="4"/>
        <w:numId w:val="19"/>
      </w:numPr>
      <w:spacing w:before="240" w:after="60"/>
      <w:outlineLvl w:val="4"/>
    </w:pPr>
    <w:rPr>
      <w:rFonts w:ascii="Calibri" w:eastAsia="Times New Roman" w:hAnsi="Calibri"/>
      <w:b/>
      <w:bCs/>
      <w:i/>
      <w:iCs/>
      <w:sz w:val="26"/>
      <w:szCs w:val="26"/>
    </w:rPr>
  </w:style>
  <w:style w:type="paragraph" w:styleId="Nadpis6">
    <w:name w:val="heading 6"/>
    <w:basedOn w:val="Normln"/>
    <w:next w:val="Normln"/>
    <w:link w:val="Nadpis6Char"/>
    <w:uiPriority w:val="9"/>
    <w:qFormat/>
    <w:rsid w:val="00630A40"/>
    <w:pPr>
      <w:numPr>
        <w:ilvl w:val="5"/>
        <w:numId w:val="19"/>
      </w:numPr>
      <w:spacing w:before="240" w:after="60"/>
      <w:outlineLvl w:val="5"/>
    </w:pPr>
    <w:rPr>
      <w:rFonts w:ascii="Calibri" w:eastAsia="Times New Roman" w:hAnsi="Calibri"/>
      <w:b/>
      <w:bCs/>
    </w:rPr>
  </w:style>
  <w:style w:type="paragraph" w:styleId="Nadpis7">
    <w:name w:val="heading 7"/>
    <w:basedOn w:val="Normln"/>
    <w:next w:val="Normln"/>
    <w:link w:val="Nadpis7Char"/>
    <w:uiPriority w:val="9"/>
    <w:qFormat/>
    <w:rsid w:val="00630A40"/>
    <w:pPr>
      <w:numPr>
        <w:ilvl w:val="6"/>
        <w:numId w:val="19"/>
      </w:numPr>
      <w:spacing w:before="240" w:after="60"/>
      <w:outlineLvl w:val="6"/>
    </w:pPr>
    <w:rPr>
      <w:rFonts w:ascii="Calibri" w:eastAsia="Times New Roman" w:hAnsi="Calibri"/>
      <w:szCs w:val="24"/>
    </w:rPr>
  </w:style>
  <w:style w:type="paragraph" w:styleId="Nadpis8">
    <w:name w:val="heading 8"/>
    <w:basedOn w:val="Normln"/>
    <w:next w:val="Normln"/>
    <w:link w:val="Nadpis8Char"/>
    <w:uiPriority w:val="9"/>
    <w:qFormat/>
    <w:rsid w:val="00630A40"/>
    <w:pPr>
      <w:numPr>
        <w:ilvl w:val="7"/>
        <w:numId w:val="19"/>
      </w:numPr>
      <w:spacing w:before="240" w:after="60"/>
      <w:outlineLvl w:val="7"/>
    </w:pPr>
    <w:rPr>
      <w:rFonts w:ascii="Calibri" w:eastAsia="Times New Roman" w:hAnsi="Calibri"/>
      <w:i/>
      <w:iCs/>
      <w:szCs w:val="24"/>
    </w:rPr>
  </w:style>
  <w:style w:type="paragraph" w:styleId="Nadpis9">
    <w:name w:val="heading 9"/>
    <w:basedOn w:val="Normln"/>
    <w:next w:val="Normln"/>
    <w:link w:val="Nadpis9Char"/>
    <w:uiPriority w:val="9"/>
    <w:qFormat/>
    <w:rsid w:val="00630A40"/>
    <w:pPr>
      <w:numPr>
        <w:ilvl w:val="8"/>
        <w:numId w:val="19"/>
      </w:numPr>
      <w:spacing w:before="240" w:after="60"/>
      <w:outlineLvl w:val="8"/>
    </w:pPr>
    <w:rPr>
      <w:rFonts w:ascii="Cambria" w:eastAsia="Times New Roman" w:hAnsi="Cambri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630A40"/>
    <w:rPr>
      <w:rFonts w:ascii="Cambria" w:eastAsia="Times New Roman" w:hAnsi="Cambria"/>
      <w:b/>
      <w:bCs/>
      <w:color w:val="B6B002"/>
      <w:sz w:val="28"/>
      <w:szCs w:val="28"/>
      <w:lang w:eastAsia="en-US"/>
    </w:rPr>
  </w:style>
  <w:style w:type="character" w:customStyle="1" w:styleId="Nadpis2Char">
    <w:name w:val="Nadpis 2 Char"/>
    <w:basedOn w:val="Standardnpsmoodstavce"/>
    <w:link w:val="Nadpis2"/>
    <w:uiPriority w:val="99"/>
    <w:rsid w:val="00630A40"/>
    <w:rPr>
      <w:rFonts w:ascii="Cambria" w:eastAsia="Times New Roman" w:hAnsi="Cambria"/>
      <w:b/>
      <w:bCs/>
      <w:color w:val="B6B002"/>
      <w:sz w:val="26"/>
      <w:szCs w:val="26"/>
      <w:lang w:eastAsia="en-US"/>
    </w:rPr>
  </w:style>
  <w:style w:type="character" w:customStyle="1" w:styleId="Nadpis3Char">
    <w:name w:val="Nadpis 3 Char"/>
    <w:basedOn w:val="Standardnpsmoodstavce"/>
    <w:link w:val="Nadpis3"/>
    <w:uiPriority w:val="99"/>
    <w:rsid w:val="00630A40"/>
    <w:rPr>
      <w:rFonts w:ascii="Cambria" w:eastAsia="Times New Roman" w:hAnsi="Cambria"/>
      <w:b/>
      <w:bCs/>
      <w:color w:val="B6B002"/>
      <w:sz w:val="24"/>
      <w:szCs w:val="22"/>
      <w:lang w:eastAsia="en-US"/>
    </w:rPr>
  </w:style>
  <w:style w:type="character" w:customStyle="1" w:styleId="Nadpis4Char">
    <w:name w:val="Nadpis 4 Char"/>
    <w:basedOn w:val="Standardnpsmoodstavce"/>
    <w:link w:val="Nadpis4"/>
    <w:uiPriority w:val="99"/>
    <w:rsid w:val="00630A40"/>
    <w:rPr>
      <w:rFonts w:ascii="Cambria" w:eastAsia="Times New Roman" w:hAnsi="Cambria"/>
      <w:b/>
      <w:bCs/>
      <w:i/>
      <w:iCs/>
      <w:color w:val="AC9B02"/>
      <w:sz w:val="24"/>
      <w:szCs w:val="22"/>
      <w:lang w:eastAsia="en-US"/>
    </w:rPr>
  </w:style>
  <w:style w:type="character" w:customStyle="1" w:styleId="Nadpis5Char">
    <w:name w:val="Nadpis 5 Char"/>
    <w:basedOn w:val="Standardnpsmoodstavce"/>
    <w:link w:val="Nadpis5"/>
    <w:uiPriority w:val="99"/>
    <w:rsid w:val="00630A40"/>
    <w:rPr>
      <w:rFonts w:eastAsia="Times New Roman"/>
      <w:b/>
      <w:bCs/>
      <w:i/>
      <w:iCs/>
      <w:sz w:val="26"/>
      <w:szCs w:val="26"/>
      <w:lang w:eastAsia="en-US"/>
    </w:rPr>
  </w:style>
  <w:style w:type="character" w:customStyle="1" w:styleId="Nadpis6Char">
    <w:name w:val="Nadpis 6 Char"/>
    <w:basedOn w:val="Standardnpsmoodstavce"/>
    <w:link w:val="Nadpis6"/>
    <w:uiPriority w:val="9"/>
    <w:rsid w:val="00630A40"/>
    <w:rPr>
      <w:rFonts w:eastAsia="Times New Roman"/>
      <w:b/>
      <w:bCs/>
      <w:sz w:val="24"/>
      <w:szCs w:val="22"/>
      <w:lang w:eastAsia="en-US"/>
    </w:rPr>
  </w:style>
  <w:style w:type="character" w:customStyle="1" w:styleId="Nadpis7Char">
    <w:name w:val="Nadpis 7 Char"/>
    <w:basedOn w:val="Standardnpsmoodstavce"/>
    <w:link w:val="Nadpis7"/>
    <w:uiPriority w:val="9"/>
    <w:rsid w:val="00630A40"/>
    <w:rPr>
      <w:rFonts w:eastAsia="Times New Roman"/>
      <w:sz w:val="24"/>
      <w:szCs w:val="24"/>
      <w:lang w:eastAsia="en-US"/>
    </w:rPr>
  </w:style>
  <w:style w:type="character" w:customStyle="1" w:styleId="Nadpis8Char">
    <w:name w:val="Nadpis 8 Char"/>
    <w:basedOn w:val="Standardnpsmoodstavce"/>
    <w:link w:val="Nadpis8"/>
    <w:uiPriority w:val="9"/>
    <w:rsid w:val="00630A40"/>
    <w:rPr>
      <w:rFonts w:eastAsia="Times New Roman"/>
      <w:i/>
      <w:iCs/>
      <w:sz w:val="24"/>
      <w:szCs w:val="24"/>
      <w:lang w:eastAsia="en-US"/>
    </w:rPr>
  </w:style>
  <w:style w:type="character" w:customStyle="1" w:styleId="Nadpis9Char">
    <w:name w:val="Nadpis 9 Char"/>
    <w:basedOn w:val="Standardnpsmoodstavce"/>
    <w:link w:val="Nadpis9"/>
    <w:uiPriority w:val="9"/>
    <w:rsid w:val="00630A40"/>
    <w:rPr>
      <w:rFonts w:ascii="Cambria" w:eastAsia="Times New Roman" w:hAnsi="Cambria"/>
      <w:sz w:val="24"/>
      <w:szCs w:val="22"/>
      <w:lang w:eastAsia="en-US"/>
    </w:rPr>
  </w:style>
  <w:style w:type="paragraph" w:styleId="Titulek">
    <w:name w:val="caption"/>
    <w:basedOn w:val="Normln"/>
    <w:next w:val="Normln"/>
    <w:qFormat/>
    <w:rsid w:val="00630A40"/>
    <w:rPr>
      <w:rFonts w:ascii="Arial" w:hAnsi="Arial"/>
      <w:bCs/>
      <w:i/>
      <w:sz w:val="20"/>
      <w:szCs w:val="18"/>
    </w:rPr>
  </w:style>
  <w:style w:type="character" w:styleId="Zvraznn">
    <w:name w:val="Emphasis"/>
    <w:uiPriority w:val="20"/>
    <w:qFormat/>
    <w:rsid w:val="00630A40"/>
    <w:rPr>
      <w:i/>
      <w:iCs/>
    </w:rPr>
  </w:style>
  <w:style w:type="paragraph" w:styleId="Odstavecseseznamem">
    <w:name w:val="List Paragraph"/>
    <w:basedOn w:val="Normln"/>
    <w:uiPriority w:val="34"/>
    <w:qFormat/>
    <w:rsid w:val="00630A40"/>
    <w:pPr>
      <w:ind w:left="720"/>
      <w:contextualSpacing/>
    </w:pPr>
  </w:style>
  <w:style w:type="paragraph" w:styleId="Nadpisobsahu">
    <w:name w:val="TOC Heading"/>
    <w:basedOn w:val="Nadpis1"/>
    <w:next w:val="Normln"/>
    <w:uiPriority w:val="39"/>
    <w:qFormat/>
    <w:rsid w:val="00630A40"/>
    <w:pPr>
      <w:numPr>
        <w:numId w:val="0"/>
      </w:numPr>
      <w:outlineLvl w:val="9"/>
    </w:pPr>
  </w:style>
  <w:style w:type="paragraph" w:customStyle="1" w:styleId="Citace1">
    <w:name w:val="Citace1"/>
    <w:basedOn w:val="Normln"/>
    <w:next w:val="Normln"/>
    <w:link w:val="CittChar"/>
    <w:uiPriority w:val="29"/>
    <w:qFormat/>
    <w:rsid w:val="00630A40"/>
    <w:pPr>
      <w:widowControl w:val="0"/>
    </w:pPr>
    <w:rPr>
      <w:rFonts w:ascii="Times New Roman" w:eastAsia="Times New Roman" w:hAnsi="Times New Roman"/>
      <w:i/>
      <w:iCs/>
      <w:color w:val="000000"/>
      <w:sz w:val="20"/>
      <w:szCs w:val="20"/>
    </w:rPr>
  </w:style>
  <w:style w:type="character" w:customStyle="1" w:styleId="CittChar">
    <w:name w:val="Citát Char"/>
    <w:link w:val="Citace1"/>
    <w:uiPriority w:val="29"/>
    <w:rsid w:val="00630A40"/>
    <w:rPr>
      <w:rFonts w:ascii="Times New Roman" w:eastAsia="Times New Roman" w:hAnsi="Times New Roman"/>
      <w:i/>
      <w:iCs/>
      <w:color w:val="000000"/>
      <w:lang w:eastAsia="en-US"/>
    </w:rPr>
  </w:style>
  <w:style w:type="paragraph" w:customStyle="1" w:styleId="abcd">
    <w:name w:val="abcd"/>
    <w:basedOn w:val="Normln"/>
    <w:qFormat/>
    <w:rsid w:val="00630A40"/>
    <w:pPr>
      <w:spacing w:before="0" w:line="276" w:lineRule="auto"/>
      <w:ind w:left="284" w:hanging="284"/>
      <w:contextualSpacing/>
    </w:pPr>
    <w:rPr>
      <w:rFonts w:ascii="Arial" w:eastAsia="Times New Roman" w:hAnsi="Arial" w:cs="Arial"/>
      <w:szCs w:val="24"/>
      <w:lang w:eastAsia="cs-CZ"/>
    </w:rPr>
  </w:style>
  <w:style w:type="paragraph" w:customStyle="1" w:styleId="Styl1">
    <w:name w:val="Styl1"/>
    <w:basedOn w:val="Normln"/>
    <w:qFormat/>
    <w:rsid w:val="00630A40"/>
    <w:pPr>
      <w:spacing w:before="0" w:line="276" w:lineRule="auto"/>
      <w:jc w:val="center"/>
    </w:pPr>
    <w:rPr>
      <w:rFonts w:ascii="Arial" w:eastAsia="Times New Roman" w:hAnsi="Arial" w:cs="Arial"/>
      <w:b/>
      <w:sz w:val="32"/>
      <w:szCs w:val="24"/>
      <w:lang w:eastAsia="cs-CZ"/>
    </w:rPr>
  </w:style>
  <w:style w:type="paragraph" w:styleId="Textpoznpodarou">
    <w:name w:val="footnote text"/>
    <w:basedOn w:val="Normln"/>
    <w:link w:val="TextpoznpodarouChar"/>
    <w:uiPriority w:val="99"/>
    <w:semiHidden/>
    <w:unhideWhenUsed/>
    <w:rsid w:val="00A47ED4"/>
    <w:pPr>
      <w:spacing w:before="0" w:after="0"/>
    </w:pPr>
    <w:rPr>
      <w:sz w:val="20"/>
      <w:szCs w:val="20"/>
    </w:rPr>
  </w:style>
  <w:style w:type="character" w:customStyle="1" w:styleId="TextpoznpodarouChar">
    <w:name w:val="Text pozn. pod čarou Char"/>
    <w:basedOn w:val="Standardnpsmoodstavce"/>
    <w:link w:val="Textpoznpodarou"/>
    <w:uiPriority w:val="99"/>
    <w:semiHidden/>
    <w:rsid w:val="00A47ED4"/>
    <w:rPr>
      <w:rFonts w:ascii="Garamond" w:hAnsi="Garamond"/>
      <w:lang w:eastAsia="en-US"/>
    </w:rPr>
  </w:style>
  <w:style w:type="character" w:styleId="Znakapoznpodarou">
    <w:name w:val="footnote reference"/>
    <w:basedOn w:val="Standardnpsmoodstavce"/>
    <w:uiPriority w:val="99"/>
    <w:semiHidden/>
    <w:unhideWhenUsed/>
    <w:rsid w:val="00A47ED4"/>
    <w:rPr>
      <w:vertAlign w:val="superscript"/>
    </w:rPr>
  </w:style>
  <w:style w:type="paragraph" w:styleId="Nzev">
    <w:name w:val="Title"/>
    <w:basedOn w:val="Normln"/>
    <w:next w:val="Normln"/>
    <w:link w:val="NzevChar"/>
    <w:uiPriority w:val="10"/>
    <w:qFormat/>
    <w:rsid w:val="00672E0D"/>
    <w:pPr>
      <w:pBdr>
        <w:bottom w:val="single" w:sz="8" w:space="4" w:color="4F81BD" w:themeColor="accent1"/>
      </w:pBdr>
      <w:spacing w:before="0" w:after="300"/>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672E0D"/>
    <w:rPr>
      <w:rFonts w:asciiTheme="majorHAnsi" w:eastAsiaTheme="majorEastAsia" w:hAnsiTheme="majorHAnsi" w:cstheme="majorBidi"/>
      <w:color w:val="17365D" w:themeColor="text2" w:themeShade="BF"/>
      <w:spacing w:val="5"/>
      <w:kern w:val="28"/>
      <w:sz w:val="52"/>
      <w:szCs w:val="52"/>
      <w:lang w:eastAsia="en-US"/>
    </w:rPr>
  </w:style>
  <w:style w:type="paragraph" w:styleId="Textbubliny">
    <w:name w:val="Balloon Text"/>
    <w:basedOn w:val="Normln"/>
    <w:link w:val="TextbublinyChar"/>
    <w:uiPriority w:val="99"/>
    <w:semiHidden/>
    <w:unhideWhenUsed/>
    <w:rsid w:val="00672E0D"/>
    <w:pPr>
      <w:spacing w:before="0"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72E0D"/>
    <w:rPr>
      <w:rFonts w:ascii="Tahoma" w:hAnsi="Tahoma" w:cs="Tahoma"/>
      <w:sz w:val="16"/>
      <w:szCs w:val="16"/>
      <w:lang w:eastAsia="en-US"/>
    </w:rPr>
  </w:style>
  <w:style w:type="character" w:styleId="Hypertextovodkaz">
    <w:name w:val="Hyperlink"/>
    <w:basedOn w:val="Standardnpsmoodstavce"/>
    <w:uiPriority w:val="99"/>
    <w:unhideWhenUsed/>
    <w:rsid w:val="00672E0D"/>
    <w:rPr>
      <w:color w:val="0000FF" w:themeColor="hyperlink"/>
      <w:u w:val="single"/>
    </w:rPr>
  </w:style>
  <w:style w:type="character" w:styleId="Odkaznakoment">
    <w:name w:val="annotation reference"/>
    <w:basedOn w:val="Standardnpsmoodstavce"/>
    <w:uiPriority w:val="99"/>
    <w:semiHidden/>
    <w:unhideWhenUsed/>
    <w:rsid w:val="001F29EF"/>
    <w:rPr>
      <w:sz w:val="16"/>
      <w:szCs w:val="16"/>
    </w:rPr>
  </w:style>
  <w:style w:type="paragraph" w:styleId="Textkomente">
    <w:name w:val="annotation text"/>
    <w:basedOn w:val="Normln"/>
    <w:link w:val="TextkomenteChar"/>
    <w:uiPriority w:val="99"/>
    <w:semiHidden/>
    <w:unhideWhenUsed/>
    <w:rsid w:val="001F29EF"/>
    <w:rPr>
      <w:sz w:val="20"/>
      <w:szCs w:val="20"/>
    </w:rPr>
  </w:style>
  <w:style w:type="character" w:customStyle="1" w:styleId="TextkomenteChar">
    <w:name w:val="Text komentáře Char"/>
    <w:basedOn w:val="Standardnpsmoodstavce"/>
    <w:link w:val="Textkomente"/>
    <w:uiPriority w:val="99"/>
    <w:semiHidden/>
    <w:rsid w:val="001F29EF"/>
    <w:rPr>
      <w:rFonts w:ascii="Garamond" w:hAnsi="Garamond"/>
      <w:lang w:eastAsia="en-US"/>
    </w:rPr>
  </w:style>
  <w:style w:type="paragraph" w:styleId="Pedmtkomente">
    <w:name w:val="annotation subject"/>
    <w:basedOn w:val="Textkomente"/>
    <w:next w:val="Textkomente"/>
    <w:link w:val="PedmtkomenteChar"/>
    <w:uiPriority w:val="99"/>
    <w:semiHidden/>
    <w:unhideWhenUsed/>
    <w:rsid w:val="001F29EF"/>
    <w:rPr>
      <w:b/>
      <w:bCs/>
    </w:rPr>
  </w:style>
  <w:style w:type="character" w:customStyle="1" w:styleId="PedmtkomenteChar">
    <w:name w:val="Předmět komentáře Char"/>
    <w:basedOn w:val="TextkomenteChar"/>
    <w:link w:val="Pedmtkomente"/>
    <w:uiPriority w:val="99"/>
    <w:semiHidden/>
    <w:rsid w:val="001F29EF"/>
    <w:rPr>
      <w:rFonts w:ascii="Garamond" w:hAnsi="Garamond"/>
      <w:b/>
      <w:bCs/>
      <w:lang w:eastAsia="en-US"/>
    </w:rPr>
  </w:style>
  <w:style w:type="character" w:styleId="Siln">
    <w:name w:val="Strong"/>
    <w:qFormat/>
    <w:rsid w:val="00256AB6"/>
    <w:rPr>
      <w:b/>
      <w:bCs/>
    </w:rPr>
  </w:style>
  <w:style w:type="paragraph" w:styleId="Zpat">
    <w:name w:val="footer"/>
    <w:aliases w:val="Zdroj"/>
    <w:basedOn w:val="Normln"/>
    <w:link w:val="ZpatChar"/>
    <w:uiPriority w:val="99"/>
    <w:unhideWhenUsed/>
    <w:rsid w:val="00180250"/>
    <w:pPr>
      <w:tabs>
        <w:tab w:val="center" w:pos="4536"/>
        <w:tab w:val="right" w:pos="9072"/>
      </w:tabs>
      <w:spacing w:before="0"/>
    </w:pPr>
    <w:rPr>
      <w:rFonts w:ascii="Calibri" w:hAnsi="Calibri"/>
      <w:i/>
      <w:sz w:val="20"/>
      <w:lang w:eastAsia="cs-CZ"/>
    </w:rPr>
  </w:style>
  <w:style w:type="character" w:customStyle="1" w:styleId="ZpatChar">
    <w:name w:val="Zápatí Char"/>
    <w:aliases w:val="Zdroj Char"/>
    <w:basedOn w:val="Standardnpsmoodstavce"/>
    <w:link w:val="Zpat"/>
    <w:uiPriority w:val="99"/>
    <w:rsid w:val="00180250"/>
    <w:rPr>
      <w:i/>
      <w:szCs w:val="22"/>
    </w:rPr>
  </w:style>
  <w:style w:type="paragraph" w:styleId="Bibliografie">
    <w:name w:val="Bibliography"/>
    <w:basedOn w:val="Normln"/>
    <w:next w:val="Normln"/>
    <w:uiPriority w:val="37"/>
    <w:unhideWhenUsed/>
    <w:rsid w:val="00B47F8C"/>
  </w:style>
  <w:style w:type="table" w:styleId="Mkatabulky">
    <w:name w:val="Table Grid"/>
    <w:basedOn w:val="Normlntabulka"/>
    <w:uiPriority w:val="59"/>
    <w:rsid w:val="00AC19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odtitul">
    <w:name w:val="Subtitle"/>
    <w:basedOn w:val="Normln"/>
    <w:next w:val="Normln"/>
    <w:link w:val="PodtitulChar"/>
    <w:uiPriority w:val="11"/>
    <w:qFormat/>
    <w:rsid w:val="00BD2D6F"/>
    <w:pPr>
      <w:numPr>
        <w:ilvl w:val="1"/>
      </w:numPr>
    </w:pPr>
    <w:rPr>
      <w:rFonts w:asciiTheme="majorHAnsi" w:eastAsiaTheme="majorEastAsia" w:hAnsiTheme="majorHAnsi" w:cstheme="majorBidi"/>
      <w:i/>
      <w:iCs/>
      <w:color w:val="4F81BD" w:themeColor="accent1"/>
      <w:spacing w:val="15"/>
      <w:szCs w:val="24"/>
    </w:rPr>
  </w:style>
  <w:style w:type="character" w:customStyle="1" w:styleId="PodtitulChar">
    <w:name w:val="Podtitul Char"/>
    <w:basedOn w:val="Standardnpsmoodstavce"/>
    <w:link w:val="Podtitul"/>
    <w:uiPriority w:val="11"/>
    <w:rsid w:val="00BD2D6F"/>
    <w:rPr>
      <w:rFonts w:asciiTheme="majorHAnsi" w:eastAsiaTheme="majorEastAsia" w:hAnsiTheme="majorHAnsi" w:cstheme="majorBidi"/>
      <w:i/>
      <w:iCs/>
      <w:color w:val="4F81BD" w:themeColor="accent1"/>
      <w:spacing w:val="15"/>
      <w:sz w:val="24"/>
      <w:szCs w:val="24"/>
      <w:lang w:eastAsia="en-US"/>
    </w:rPr>
  </w:style>
  <w:style w:type="character" w:styleId="Zdraznnintenzivn">
    <w:name w:val="Intense Emphasis"/>
    <w:basedOn w:val="Standardnpsmoodstavce"/>
    <w:uiPriority w:val="21"/>
    <w:qFormat/>
    <w:rsid w:val="00BD2D6F"/>
    <w:rPr>
      <w:b/>
      <w:bCs/>
      <w:i/>
      <w:iCs/>
      <w:color w:val="4F81BD" w:themeColor="accent1"/>
    </w:rPr>
  </w:style>
  <w:style w:type="table" w:customStyle="1" w:styleId="Svtlstnovn1">
    <w:name w:val="Světlé stínování1"/>
    <w:basedOn w:val="Normlntabulka"/>
    <w:uiPriority w:val="60"/>
    <w:rsid w:val="00807B20"/>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lnweb">
    <w:name w:val="Normal (Web)"/>
    <w:basedOn w:val="Normln"/>
    <w:uiPriority w:val="99"/>
    <w:unhideWhenUsed/>
    <w:rsid w:val="00475036"/>
    <w:pPr>
      <w:spacing w:before="100" w:beforeAutospacing="1" w:after="100" w:afterAutospacing="1"/>
      <w:jc w:val="left"/>
    </w:pPr>
    <w:rPr>
      <w:rFonts w:ascii="Times New Roman" w:eastAsia="Times New Roman" w:hAnsi="Times New Roman"/>
      <w:szCs w:val="24"/>
      <w:lang w:eastAsia="cs-CZ"/>
    </w:rPr>
  </w:style>
  <w:style w:type="paragraph" w:styleId="Zhlav">
    <w:name w:val="header"/>
    <w:basedOn w:val="Normln"/>
    <w:link w:val="ZhlavChar"/>
    <w:uiPriority w:val="99"/>
    <w:unhideWhenUsed/>
    <w:rsid w:val="0001507A"/>
    <w:pPr>
      <w:tabs>
        <w:tab w:val="center" w:pos="4536"/>
        <w:tab w:val="right" w:pos="9072"/>
      </w:tabs>
      <w:spacing w:before="0" w:after="0"/>
    </w:pPr>
  </w:style>
  <w:style w:type="character" w:customStyle="1" w:styleId="ZhlavChar">
    <w:name w:val="Záhlaví Char"/>
    <w:basedOn w:val="Standardnpsmoodstavce"/>
    <w:link w:val="Zhlav"/>
    <w:uiPriority w:val="99"/>
    <w:rsid w:val="0001507A"/>
    <w:rPr>
      <w:rFonts w:ascii="Garamond" w:hAnsi="Garamond"/>
      <w:sz w:val="24"/>
      <w:szCs w:val="22"/>
      <w:lang w:eastAsia="en-US"/>
    </w:rPr>
  </w:style>
  <w:style w:type="table" w:styleId="Svtlstnovn">
    <w:name w:val="Light Shading"/>
    <w:basedOn w:val="Normlntabulka"/>
    <w:uiPriority w:val="60"/>
    <w:rsid w:val="001E6ED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Obsah1">
    <w:name w:val="toc 1"/>
    <w:basedOn w:val="Normln"/>
    <w:next w:val="Normln"/>
    <w:autoRedefine/>
    <w:uiPriority w:val="39"/>
    <w:unhideWhenUsed/>
    <w:rsid w:val="006E360A"/>
    <w:pPr>
      <w:spacing w:after="100"/>
    </w:pPr>
  </w:style>
  <w:style w:type="paragraph" w:styleId="Obsah2">
    <w:name w:val="toc 2"/>
    <w:basedOn w:val="Normln"/>
    <w:next w:val="Normln"/>
    <w:autoRedefine/>
    <w:uiPriority w:val="39"/>
    <w:unhideWhenUsed/>
    <w:rsid w:val="006E360A"/>
    <w:pPr>
      <w:spacing w:after="100"/>
      <w:ind w:left="240"/>
    </w:pPr>
  </w:style>
  <w:style w:type="paragraph" w:styleId="Obsah3">
    <w:name w:val="toc 3"/>
    <w:basedOn w:val="Normln"/>
    <w:next w:val="Normln"/>
    <w:autoRedefine/>
    <w:uiPriority w:val="39"/>
    <w:unhideWhenUsed/>
    <w:rsid w:val="006E360A"/>
    <w:pPr>
      <w:spacing w:after="100"/>
      <w:ind w:left="480"/>
    </w:pPr>
  </w:style>
  <w:style w:type="character" w:customStyle="1" w:styleId="apple-converted-space">
    <w:name w:val="apple-converted-space"/>
    <w:basedOn w:val="Standardnpsmoodstavce"/>
    <w:rsid w:val="00F449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30A40"/>
    <w:pPr>
      <w:spacing w:before="120" w:after="120"/>
      <w:jc w:val="both"/>
    </w:pPr>
    <w:rPr>
      <w:rFonts w:ascii="Garamond" w:hAnsi="Garamond"/>
      <w:sz w:val="24"/>
      <w:szCs w:val="22"/>
      <w:lang w:eastAsia="en-US"/>
    </w:rPr>
  </w:style>
  <w:style w:type="paragraph" w:styleId="Nadpis1">
    <w:name w:val="heading 1"/>
    <w:basedOn w:val="Normln"/>
    <w:next w:val="Normln"/>
    <w:link w:val="Nadpis1Char"/>
    <w:uiPriority w:val="99"/>
    <w:qFormat/>
    <w:rsid w:val="00630A40"/>
    <w:pPr>
      <w:keepNext/>
      <w:keepLines/>
      <w:numPr>
        <w:numId w:val="19"/>
      </w:numPr>
      <w:spacing w:before="480" w:after="0"/>
      <w:outlineLvl w:val="0"/>
    </w:pPr>
    <w:rPr>
      <w:rFonts w:ascii="Cambria" w:eastAsia="Times New Roman" w:hAnsi="Cambria"/>
      <w:b/>
      <w:bCs/>
      <w:color w:val="B6B002"/>
      <w:sz w:val="28"/>
      <w:szCs w:val="28"/>
    </w:rPr>
  </w:style>
  <w:style w:type="paragraph" w:styleId="Nadpis2">
    <w:name w:val="heading 2"/>
    <w:basedOn w:val="Normln"/>
    <w:next w:val="Normln"/>
    <w:link w:val="Nadpis2Char"/>
    <w:uiPriority w:val="99"/>
    <w:qFormat/>
    <w:rsid w:val="00630A40"/>
    <w:pPr>
      <w:keepNext/>
      <w:keepLines/>
      <w:numPr>
        <w:ilvl w:val="1"/>
        <w:numId w:val="19"/>
      </w:numPr>
      <w:spacing w:before="200" w:after="0"/>
      <w:outlineLvl w:val="1"/>
    </w:pPr>
    <w:rPr>
      <w:rFonts w:ascii="Cambria" w:eastAsia="Times New Roman" w:hAnsi="Cambria"/>
      <w:b/>
      <w:bCs/>
      <w:color w:val="B6B002"/>
      <w:sz w:val="26"/>
      <w:szCs w:val="26"/>
    </w:rPr>
  </w:style>
  <w:style w:type="paragraph" w:styleId="Nadpis3">
    <w:name w:val="heading 3"/>
    <w:basedOn w:val="Normln"/>
    <w:next w:val="Normln"/>
    <w:link w:val="Nadpis3Char"/>
    <w:uiPriority w:val="99"/>
    <w:qFormat/>
    <w:rsid w:val="00630A40"/>
    <w:pPr>
      <w:keepNext/>
      <w:keepLines/>
      <w:numPr>
        <w:ilvl w:val="2"/>
        <w:numId w:val="19"/>
      </w:numPr>
      <w:spacing w:before="200" w:after="0"/>
      <w:outlineLvl w:val="2"/>
    </w:pPr>
    <w:rPr>
      <w:rFonts w:ascii="Cambria" w:eastAsia="Times New Roman" w:hAnsi="Cambria"/>
      <w:b/>
      <w:bCs/>
      <w:color w:val="B6B002"/>
    </w:rPr>
  </w:style>
  <w:style w:type="paragraph" w:styleId="Nadpis4">
    <w:name w:val="heading 4"/>
    <w:basedOn w:val="Normln"/>
    <w:next w:val="Normln"/>
    <w:link w:val="Nadpis4Char"/>
    <w:uiPriority w:val="99"/>
    <w:qFormat/>
    <w:rsid w:val="00630A40"/>
    <w:pPr>
      <w:keepNext/>
      <w:keepLines/>
      <w:numPr>
        <w:ilvl w:val="3"/>
        <w:numId w:val="19"/>
      </w:numPr>
      <w:spacing w:before="200" w:after="0"/>
      <w:outlineLvl w:val="3"/>
    </w:pPr>
    <w:rPr>
      <w:rFonts w:ascii="Cambria" w:eastAsia="Times New Roman" w:hAnsi="Cambria"/>
      <w:b/>
      <w:bCs/>
      <w:i/>
      <w:iCs/>
      <w:color w:val="AC9B02"/>
    </w:rPr>
  </w:style>
  <w:style w:type="paragraph" w:styleId="Nadpis5">
    <w:name w:val="heading 5"/>
    <w:basedOn w:val="Normln"/>
    <w:next w:val="Normln"/>
    <w:link w:val="Nadpis5Char"/>
    <w:uiPriority w:val="99"/>
    <w:qFormat/>
    <w:rsid w:val="00630A40"/>
    <w:pPr>
      <w:numPr>
        <w:ilvl w:val="4"/>
        <w:numId w:val="19"/>
      </w:numPr>
      <w:spacing w:before="240" w:after="60"/>
      <w:outlineLvl w:val="4"/>
    </w:pPr>
    <w:rPr>
      <w:rFonts w:ascii="Calibri" w:eastAsia="Times New Roman" w:hAnsi="Calibri"/>
      <w:b/>
      <w:bCs/>
      <w:i/>
      <w:iCs/>
      <w:sz w:val="26"/>
      <w:szCs w:val="26"/>
    </w:rPr>
  </w:style>
  <w:style w:type="paragraph" w:styleId="Nadpis6">
    <w:name w:val="heading 6"/>
    <w:basedOn w:val="Normln"/>
    <w:next w:val="Normln"/>
    <w:link w:val="Nadpis6Char"/>
    <w:uiPriority w:val="9"/>
    <w:qFormat/>
    <w:rsid w:val="00630A40"/>
    <w:pPr>
      <w:numPr>
        <w:ilvl w:val="5"/>
        <w:numId w:val="19"/>
      </w:numPr>
      <w:spacing w:before="240" w:after="60"/>
      <w:outlineLvl w:val="5"/>
    </w:pPr>
    <w:rPr>
      <w:rFonts w:ascii="Calibri" w:eastAsia="Times New Roman" w:hAnsi="Calibri"/>
      <w:b/>
      <w:bCs/>
    </w:rPr>
  </w:style>
  <w:style w:type="paragraph" w:styleId="Nadpis7">
    <w:name w:val="heading 7"/>
    <w:basedOn w:val="Normln"/>
    <w:next w:val="Normln"/>
    <w:link w:val="Nadpis7Char"/>
    <w:uiPriority w:val="9"/>
    <w:qFormat/>
    <w:rsid w:val="00630A40"/>
    <w:pPr>
      <w:numPr>
        <w:ilvl w:val="6"/>
        <w:numId w:val="19"/>
      </w:numPr>
      <w:spacing w:before="240" w:after="60"/>
      <w:outlineLvl w:val="6"/>
    </w:pPr>
    <w:rPr>
      <w:rFonts w:ascii="Calibri" w:eastAsia="Times New Roman" w:hAnsi="Calibri"/>
      <w:szCs w:val="24"/>
    </w:rPr>
  </w:style>
  <w:style w:type="paragraph" w:styleId="Nadpis8">
    <w:name w:val="heading 8"/>
    <w:basedOn w:val="Normln"/>
    <w:next w:val="Normln"/>
    <w:link w:val="Nadpis8Char"/>
    <w:uiPriority w:val="9"/>
    <w:qFormat/>
    <w:rsid w:val="00630A40"/>
    <w:pPr>
      <w:numPr>
        <w:ilvl w:val="7"/>
        <w:numId w:val="19"/>
      </w:numPr>
      <w:spacing w:before="240" w:after="60"/>
      <w:outlineLvl w:val="7"/>
    </w:pPr>
    <w:rPr>
      <w:rFonts w:ascii="Calibri" w:eastAsia="Times New Roman" w:hAnsi="Calibri"/>
      <w:i/>
      <w:iCs/>
      <w:szCs w:val="24"/>
    </w:rPr>
  </w:style>
  <w:style w:type="paragraph" w:styleId="Nadpis9">
    <w:name w:val="heading 9"/>
    <w:basedOn w:val="Normln"/>
    <w:next w:val="Normln"/>
    <w:link w:val="Nadpis9Char"/>
    <w:uiPriority w:val="9"/>
    <w:qFormat/>
    <w:rsid w:val="00630A40"/>
    <w:pPr>
      <w:numPr>
        <w:ilvl w:val="8"/>
        <w:numId w:val="19"/>
      </w:numPr>
      <w:spacing w:before="240" w:after="60"/>
      <w:outlineLvl w:val="8"/>
    </w:pPr>
    <w:rPr>
      <w:rFonts w:ascii="Cambria" w:eastAsia="Times New Roman" w:hAnsi="Cambri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630A40"/>
    <w:rPr>
      <w:rFonts w:ascii="Cambria" w:eastAsia="Times New Roman" w:hAnsi="Cambria"/>
      <w:b/>
      <w:bCs/>
      <w:color w:val="B6B002"/>
      <w:sz w:val="28"/>
      <w:szCs w:val="28"/>
      <w:lang w:eastAsia="en-US"/>
    </w:rPr>
  </w:style>
  <w:style w:type="character" w:customStyle="1" w:styleId="Nadpis2Char">
    <w:name w:val="Nadpis 2 Char"/>
    <w:basedOn w:val="Standardnpsmoodstavce"/>
    <w:link w:val="Nadpis2"/>
    <w:uiPriority w:val="99"/>
    <w:rsid w:val="00630A40"/>
    <w:rPr>
      <w:rFonts w:ascii="Cambria" w:eastAsia="Times New Roman" w:hAnsi="Cambria"/>
      <w:b/>
      <w:bCs/>
      <w:color w:val="B6B002"/>
      <w:sz w:val="26"/>
      <w:szCs w:val="26"/>
      <w:lang w:eastAsia="en-US"/>
    </w:rPr>
  </w:style>
  <w:style w:type="character" w:customStyle="1" w:styleId="Nadpis3Char">
    <w:name w:val="Nadpis 3 Char"/>
    <w:basedOn w:val="Standardnpsmoodstavce"/>
    <w:link w:val="Nadpis3"/>
    <w:uiPriority w:val="99"/>
    <w:rsid w:val="00630A40"/>
    <w:rPr>
      <w:rFonts w:ascii="Cambria" w:eastAsia="Times New Roman" w:hAnsi="Cambria"/>
      <w:b/>
      <w:bCs/>
      <w:color w:val="B6B002"/>
      <w:sz w:val="24"/>
      <w:szCs w:val="22"/>
      <w:lang w:eastAsia="en-US"/>
    </w:rPr>
  </w:style>
  <w:style w:type="character" w:customStyle="1" w:styleId="Nadpis4Char">
    <w:name w:val="Nadpis 4 Char"/>
    <w:basedOn w:val="Standardnpsmoodstavce"/>
    <w:link w:val="Nadpis4"/>
    <w:uiPriority w:val="99"/>
    <w:rsid w:val="00630A40"/>
    <w:rPr>
      <w:rFonts w:ascii="Cambria" w:eastAsia="Times New Roman" w:hAnsi="Cambria"/>
      <w:b/>
      <w:bCs/>
      <w:i/>
      <w:iCs/>
      <w:color w:val="AC9B02"/>
      <w:sz w:val="24"/>
      <w:szCs w:val="22"/>
      <w:lang w:eastAsia="en-US"/>
    </w:rPr>
  </w:style>
  <w:style w:type="character" w:customStyle="1" w:styleId="Nadpis5Char">
    <w:name w:val="Nadpis 5 Char"/>
    <w:basedOn w:val="Standardnpsmoodstavce"/>
    <w:link w:val="Nadpis5"/>
    <w:uiPriority w:val="99"/>
    <w:rsid w:val="00630A40"/>
    <w:rPr>
      <w:rFonts w:eastAsia="Times New Roman"/>
      <w:b/>
      <w:bCs/>
      <w:i/>
      <w:iCs/>
      <w:sz w:val="26"/>
      <w:szCs w:val="26"/>
      <w:lang w:eastAsia="en-US"/>
    </w:rPr>
  </w:style>
  <w:style w:type="character" w:customStyle="1" w:styleId="Nadpis6Char">
    <w:name w:val="Nadpis 6 Char"/>
    <w:basedOn w:val="Standardnpsmoodstavce"/>
    <w:link w:val="Nadpis6"/>
    <w:uiPriority w:val="9"/>
    <w:rsid w:val="00630A40"/>
    <w:rPr>
      <w:rFonts w:eastAsia="Times New Roman"/>
      <w:b/>
      <w:bCs/>
      <w:sz w:val="24"/>
      <w:szCs w:val="22"/>
      <w:lang w:eastAsia="en-US"/>
    </w:rPr>
  </w:style>
  <w:style w:type="character" w:customStyle="1" w:styleId="Nadpis7Char">
    <w:name w:val="Nadpis 7 Char"/>
    <w:basedOn w:val="Standardnpsmoodstavce"/>
    <w:link w:val="Nadpis7"/>
    <w:uiPriority w:val="9"/>
    <w:rsid w:val="00630A40"/>
    <w:rPr>
      <w:rFonts w:eastAsia="Times New Roman"/>
      <w:sz w:val="24"/>
      <w:szCs w:val="24"/>
      <w:lang w:eastAsia="en-US"/>
    </w:rPr>
  </w:style>
  <w:style w:type="character" w:customStyle="1" w:styleId="Nadpis8Char">
    <w:name w:val="Nadpis 8 Char"/>
    <w:basedOn w:val="Standardnpsmoodstavce"/>
    <w:link w:val="Nadpis8"/>
    <w:uiPriority w:val="9"/>
    <w:rsid w:val="00630A40"/>
    <w:rPr>
      <w:rFonts w:eastAsia="Times New Roman"/>
      <w:i/>
      <w:iCs/>
      <w:sz w:val="24"/>
      <w:szCs w:val="24"/>
      <w:lang w:eastAsia="en-US"/>
    </w:rPr>
  </w:style>
  <w:style w:type="character" w:customStyle="1" w:styleId="Nadpis9Char">
    <w:name w:val="Nadpis 9 Char"/>
    <w:basedOn w:val="Standardnpsmoodstavce"/>
    <w:link w:val="Nadpis9"/>
    <w:uiPriority w:val="9"/>
    <w:rsid w:val="00630A40"/>
    <w:rPr>
      <w:rFonts w:ascii="Cambria" w:eastAsia="Times New Roman" w:hAnsi="Cambria"/>
      <w:sz w:val="24"/>
      <w:szCs w:val="22"/>
      <w:lang w:eastAsia="en-US"/>
    </w:rPr>
  </w:style>
  <w:style w:type="paragraph" w:styleId="Titulek">
    <w:name w:val="caption"/>
    <w:basedOn w:val="Normln"/>
    <w:next w:val="Normln"/>
    <w:qFormat/>
    <w:rsid w:val="00630A40"/>
    <w:rPr>
      <w:rFonts w:ascii="Arial" w:hAnsi="Arial"/>
      <w:bCs/>
      <w:i/>
      <w:sz w:val="20"/>
      <w:szCs w:val="18"/>
    </w:rPr>
  </w:style>
  <w:style w:type="character" w:styleId="Zvraznn">
    <w:name w:val="Emphasis"/>
    <w:uiPriority w:val="20"/>
    <w:qFormat/>
    <w:rsid w:val="00630A40"/>
    <w:rPr>
      <w:i/>
      <w:iCs/>
    </w:rPr>
  </w:style>
  <w:style w:type="paragraph" w:styleId="Odstavecseseznamem">
    <w:name w:val="List Paragraph"/>
    <w:basedOn w:val="Normln"/>
    <w:uiPriority w:val="34"/>
    <w:qFormat/>
    <w:rsid w:val="00630A40"/>
    <w:pPr>
      <w:ind w:left="720"/>
      <w:contextualSpacing/>
    </w:pPr>
  </w:style>
  <w:style w:type="paragraph" w:styleId="Nadpisobsahu">
    <w:name w:val="TOC Heading"/>
    <w:basedOn w:val="Nadpis1"/>
    <w:next w:val="Normln"/>
    <w:uiPriority w:val="39"/>
    <w:qFormat/>
    <w:rsid w:val="00630A40"/>
    <w:pPr>
      <w:numPr>
        <w:numId w:val="0"/>
      </w:numPr>
      <w:outlineLvl w:val="9"/>
    </w:pPr>
  </w:style>
  <w:style w:type="paragraph" w:customStyle="1" w:styleId="Citace1">
    <w:name w:val="Citace1"/>
    <w:basedOn w:val="Normln"/>
    <w:next w:val="Normln"/>
    <w:link w:val="CittChar"/>
    <w:uiPriority w:val="29"/>
    <w:qFormat/>
    <w:rsid w:val="00630A40"/>
    <w:pPr>
      <w:widowControl w:val="0"/>
    </w:pPr>
    <w:rPr>
      <w:rFonts w:ascii="Times New Roman" w:eastAsia="Times New Roman" w:hAnsi="Times New Roman"/>
      <w:i/>
      <w:iCs/>
      <w:color w:val="000000"/>
      <w:sz w:val="20"/>
      <w:szCs w:val="20"/>
    </w:rPr>
  </w:style>
  <w:style w:type="character" w:customStyle="1" w:styleId="CittChar">
    <w:name w:val="Citát Char"/>
    <w:link w:val="Citace1"/>
    <w:uiPriority w:val="29"/>
    <w:rsid w:val="00630A40"/>
    <w:rPr>
      <w:rFonts w:ascii="Times New Roman" w:eastAsia="Times New Roman" w:hAnsi="Times New Roman"/>
      <w:i/>
      <w:iCs/>
      <w:color w:val="000000"/>
      <w:lang w:eastAsia="en-US"/>
    </w:rPr>
  </w:style>
  <w:style w:type="paragraph" w:customStyle="1" w:styleId="abcd">
    <w:name w:val="abcd"/>
    <w:basedOn w:val="Normln"/>
    <w:qFormat/>
    <w:rsid w:val="00630A40"/>
    <w:pPr>
      <w:spacing w:before="0" w:line="276" w:lineRule="auto"/>
      <w:ind w:left="284" w:hanging="284"/>
      <w:contextualSpacing/>
    </w:pPr>
    <w:rPr>
      <w:rFonts w:ascii="Arial" w:eastAsia="Times New Roman" w:hAnsi="Arial" w:cs="Arial"/>
      <w:szCs w:val="24"/>
      <w:lang w:eastAsia="cs-CZ"/>
    </w:rPr>
  </w:style>
  <w:style w:type="paragraph" w:customStyle="1" w:styleId="Styl1">
    <w:name w:val="Styl1"/>
    <w:basedOn w:val="Normln"/>
    <w:qFormat/>
    <w:rsid w:val="00630A40"/>
    <w:pPr>
      <w:spacing w:before="0" w:line="276" w:lineRule="auto"/>
      <w:jc w:val="center"/>
    </w:pPr>
    <w:rPr>
      <w:rFonts w:ascii="Arial" w:eastAsia="Times New Roman" w:hAnsi="Arial" w:cs="Arial"/>
      <w:b/>
      <w:sz w:val="32"/>
      <w:szCs w:val="24"/>
      <w:lang w:eastAsia="cs-CZ"/>
    </w:rPr>
  </w:style>
  <w:style w:type="paragraph" w:styleId="Textpoznpodarou">
    <w:name w:val="footnote text"/>
    <w:basedOn w:val="Normln"/>
    <w:link w:val="TextpoznpodarouChar"/>
    <w:uiPriority w:val="99"/>
    <w:semiHidden/>
    <w:unhideWhenUsed/>
    <w:rsid w:val="00A47ED4"/>
    <w:pPr>
      <w:spacing w:before="0" w:after="0"/>
    </w:pPr>
    <w:rPr>
      <w:sz w:val="20"/>
      <w:szCs w:val="20"/>
    </w:rPr>
  </w:style>
  <w:style w:type="character" w:customStyle="1" w:styleId="TextpoznpodarouChar">
    <w:name w:val="Text pozn. pod čarou Char"/>
    <w:basedOn w:val="Standardnpsmoodstavce"/>
    <w:link w:val="Textpoznpodarou"/>
    <w:uiPriority w:val="99"/>
    <w:semiHidden/>
    <w:rsid w:val="00A47ED4"/>
    <w:rPr>
      <w:rFonts w:ascii="Garamond" w:hAnsi="Garamond"/>
      <w:lang w:eastAsia="en-US"/>
    </w:rPr>
  </w:style>
  <w:style w:type="character" w:styleId="Znakapoznpodarou">
    <w:name w:val="footnote reference"/>
    <w:basedOn w:val="Standardnpsmoodstavce"/>
    <w:uiPriority w:val="99"/>
    <w:semiHidden/>
    <w:unhideWhenUsed/>
    <w:rsid w:val="00A47ED4"/>
    <w:rPr>
      <w:vertAlign w:val="superscript"/>
    </w:rPr>
  </w:style>
  <w:style w:type="paragraph" w:styleId="Nzev">
    <w:name w:val="Title"/>
    <w:basedOn w:val="Normln"/>
    <w:next w:val="Normln"/>
    <w:link w:val="NzevChar"/>
    <w:uiPriority w:val="10"/>
    <w:qFormat/>
    <w:rsid w:val="00672E0D"/>
    <w:pPr>
      <w:pBdr>
        <w:bottom w:val="single" w:sz="8" w:space="4" w:color="4F81BD" w:themeColor="accent1"/>
      </w:pBdr>
      <w:spacing w:before="0" w:after="300"/>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672E0D"/>
    <w:rPr>
      <w:rFonts w:asciiTheme="majorHAnsi" w:eastAsiaTheme="majorEastAsia" w:hAnsiTheme="majorHAnsi" w:cstheme="majorBidi"/>
      <w:color w:val="17365D" w:themeColor="text2" w:themeShade="BF"/>
      <w:spacing w:val="5"/>
      <w:kern w:val="28"/>
      <w:sz w:val="52"/>
      <w:szCs w:val="52"/>
      <w:lang w:eastAsia="en-US"/>
    </w:rPr>
  </w:style>
  <w:style w:type="paragraph" w:styleId="Textbubliny">
    <w:name w:val="Balloon Text"/>
    <w:basedOn w:val="Normln"/>
    <w:link w:val="TextbublinyChar"/>
    <w:uiPriority w:val="99"/>
    <w:semiHidden/>
    <w:unhideWhenUsed/>
    <w:rsid w:val="00672E0D"/>
    <w:pPr>
      <w:spacing w:before="0"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72E0D"/>
    <w:rPr>
      <w:rFonts w:ascii="Tahoma" w:hAnsi="Tahoma" w:cs="Tahoma"/>
      <w:sz w:val="16"/>
      <w:szCs w:val="16"/>
      <w:lang w:eastAsia="en-US"/>
    </w:rPr>
  </w:style>
  <w:style w:type="character" w:styleId="Hypertextovodkaz">
    <w:name w:val="Hyperlink"/>
    <w:basedOn w:val="Standardnpsmoodstavce"/>
    <w:uiPriority w:val="99"/>
    <w:unhideWhenUsed/>
    <w:rsid w:val="00672E0D"/>
    <w:rPr>
      <w:color w:val="0000FF" w:themeColor="hyperlink"/>
      <w:u w:val="single"/>
    </w:rPr>
  </w:style>
  <w:style w:type="character" w:styleId="Odkaznakoment">
    <w:name w:val="annotation reference"/>
    <w:basedOn w:val="Standardnpsmoodstavce"/>
    <w:uiPriority w:val="99"/>
    <w:semiHidden/>
    <w:unhideWhenUsed/>
    <w:rsid w:val="001F29EF"/>
    <w:rPr>
      <w:sz w:val="16"/>
      <w:szCs w:val="16"/>
    </w:rPr>
  </w:style>
  <w:style w:type="paragraph" w:styleId="Textkomente">
    <w:name w:val="annotation text"/>
    <w:basedOn w:val="Normln"/>
    <w:link w:val="TextkomenteChar"/>
    <w:uiPriority w:val="99"/>
    <w:semiHidden/>
    <w:unhideWhenUsed/>
    <w:rsid w:val="001F29EF"/>
    <w:rPr>
      <w:sz w:val="20"/>
      <w:szCs w:val="20"/>
    </w:rPr>
  </w:style>
  <w:style w:type="character" w:customStyle="1" w:styleId="TextkomenteChar">
    <w:name w:val="Text komentáře Char"/>
    <w:basedOn w:val="Standardnpsmoodstavce"/>
    <w:link w:val="Textkomente"/>
    <w:uiPriority w:val="99"/>
    <w:semiHidden/>
    <w:rsid w:val="001F29EF"/>
    <w:rPr>
      <w:rFonts w:ascii="Garamond" w:hAnsi="Garamond"/>
      <w:lang w:eastAsia="en-US"/>
    </w:rPr>
  </w:style>
  <w:style w:type="paragraph" w:styleId="Pedmtkomente">
    <w:name w:val="annotation subject"/>
    <w:basedOn w:val="Textkomente"/>
    <w:next w:val="Textkomente"/>
    <w:link w:val="PedmtkomenteChar"/>
    <w:uiPriority w:val="99"/>
    <w:semiHidden/>
    <w:unhideWhenUsed/>
    <w:rsid w:val="001F29EF"/>
    <w:rPr>
      <w:b/>
      <w:bCs/>
    </w:rPr>
  </w:style>
  <w:style w:type="character" w:customStyle="1" w:styleId="PedmtkomenteChar">
    <w:name w:val="Předmět komentáře Char"/>
    <w:basedOn w:val="TextkomenteChar"/>
    <w:link w:val="Pedmtkomente"/>
    <w:uiPriority w:val="99"/>
    <w:semiHidden/>
    <w:rsid w:val="001F29EF"/>
    <w:rPr>
      <w:rFonts w:ascii="Garamond" w:hAnsi="Garamond"/>
      <w:b/>
      <w:bCs/>
      <w:lang w:eastAsia="en-US"/>
    </w:rPr>
  </w:style>
  <w:style w:type="character" w:styleId="Siln">
    <w:name w:val="Strong"/>
    <w:qFormat/>
    <w:rsid w:val="00256AB6"/>
    <w:rPr>
      <w:b/>
      <w:bCs/>
    </w:rPr>
  </w:style>
  <w:style w:type="paragraph" w:styleId="Zpat">
    <w:name w:val="footer"/>
    <w:aliases w:val="Zdroj"/>
    <w:basedOn w:val="Normln"/>
    <w:link w:val="ZpatChar"/>
    <w:uiPriority w:val="99"/>
    <w:unhideWhenUsed/>
    <w:rsid w:val="00180250"/>
    <w:pPr>
      <w:tabs>
        <w:tab w:val="center" w:pos="4536"/>
        <w:tab w:val="right" w:pos="9072"/>
      </w:tabs>
      <w:spacing w:before="0"/>
    </w:pPr>
    <w:rPr>
      <w:rFonts w:ascii="Calibri" w:hAnsi="Calibri"/>
      <w:i/>
      <w:sz w:val="20"/>
      <w:lang w:eastAsia="cs-CZ"/>
    </w:rPr>
  </w:style>
  <w:style w:type="character" w:customStyle="1" w:styleId="ZpatChar">
    <w:name w:val="Zápatí Char"/>
    <w:aliases w:val="Zdroj Char"/>
    <w:basedOn w:val="Standardnpsmoodstavce"/>
    <w:link w:val="Zpat"/>
    <w:uiPriority w:val="99"/>
    <w:rsid w:val="00180250"/>
    <w:rPr>
      <w:i/>
      <w:szCs w:val="22"/>
    </w:rPr>
  </w:style>
  <w:style w:type="paragraph" w:styleId="Bibliografie">
    <w:name w:val="Bibliography"/>
    <w:basedOn w:val="Normln"/>
    <w:next w:val="Normln"/>
    <w:uiPriority w:val="37"/>
    <w:unhideWhenUsed/>
    <w:rsid w:val="00B47F8C"/>
  </w:style>
  <w:style w:type="table" w:styleId="Mkatabulky">
    <w:name w:val="Table Grid"/>
    <w:basedOn w:val="Normlntabulka"/>
    <w:uiPriority w:val="59"/>
    <w:rsid w:val="00AC19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odtitul">
    <w:name w:val="Subtitle"/>
    <w:basedOn w:val="Normln"/>
    <w:next w:val="Normln"/>
    <w:link w:val="PodtitulChar"/>
    <w:uiPriority w:val="11"/>
    <w:qFormat/>
    <w:rsid w:val="00BD2D6F"/>
    <w:pPr>
      <w:numPr>
        <w:ilvl w:val="1"/>
      </w:numPr>
    </w:pPr>
    <w:rPr>
      <w:rFonts w:asciiTheme="majorHAnsi" w:eastAsiaTheme="majorEastAsia" w:hAnsiTheme="majorHAnsi" w:cstheme="majorBidi"/>
      <w:i/>
      <w:iCs/>
      <w:color w:val="4F81BD" w:themeColor="accent1"/>
      <w:spacing w:val="15"/>
      <w:szCs w:val="24"/>
    </w:rPr>
  </w:style>
  <w:style w:type="character" w:customStyle="1" w:styleId="PodtitulChar">
    <w:name w:val="Podtitul Char"/>
    <w:basedOn w:val="Standardnpsmoodstavce"/>
    <w:link w:val="Podtitul"/>
    <w:uiPriority w:val="11"/>
    <w:rsid w:val="00BD2D6F"/>
    <w:rPr>
      <w:rFonts w:asciiTheme="majorHAnsi" w:eastAsiaTheme="majorEastAsia" w:hAnsiTheme="majorHAnsi" w:cstheme="majorBidi"/>
      <w:i/>
      <w:iCs/>
      <w:color w:val="4F81BD" w:themeColor="accent1"/>
      <w:spacing w:val="15"/>
      <w:sz w:val="24"/>
      <w:szCs w:val="24"/>
      <w:lang w:eastAsia="en-US"/>
    </w:rPr>
  </w:style>
  <w:style w:type="character" w:styleId="Zdraznnintenzivn">
    <w:name w:val="Intense Emphasis"/>
    <w:basedOn w:val="Standardnpsmoodstavce"/>
    <w:uiPriority w:val="21"/>
    <w:qFormat/>
    <w:rsid w:val="00BD2D6F"/>
    <w:rPr>
      <w:b/>
      <w:bCs/>
      <w:i/>
      <w:iCs/>
      <w:color w:val="4F81BD" w:themeColor="accent1"/>
    </w:rPr>
  </w:style>
  <w:style w:type="table" w:customStyle="1" w:styleId="Svtlstnovn1">
    <w:name w:val="Světlé stínování1"/>
    <w:basedOn w:val="Normlntabulka"/>
    <w:uiPriority w:val="60"/>
    <w:rsid w:val="00807B20"/>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lnweb">
    <w:name w:val="Normal (Web)"/>
    <w:basedOn w:val="Normln"/>
    <w:uiPriority w:val="99"/>
    <w:unhideWhenUsed/>
    <w:rsid w:val="00475036"/>
    <w:pPr>
      <w:spacing w:before="100" w:beforeAutospacing="1" w:after="100" w:afterAutospacing="1"/>
      <w:jc w:val="left"/>
    </w:pPr>
    <w:rPr>
      <w:rFonts w:ascii="Times New Roman" w:eastAsia="Times New Roman" w:hAnsi="Times New Roman"/>
      <w:szCs w:val="24"/>
      <w:lang w:eastAsia="cs-CZ"/>
    </w:rPr>
  </w:style>
  <w:style w:type="paragraph" w:styleId="Zhlav">
    <w:name w:val="header"/>
    <w:basedOn w:val="Normln"/>
    <w:link w:val="ZhlavChar"/>
    <w:uiPriority w:val="99"/>
    <w:unhideWhenUsed/>
    <w:rsid w:val="0001507A"/>
    <w:pPr>
      <w:tabs>
        <w:tab w:val="center" w:pos="4536"/>
        <w:tab w:val="right" w:pos="9072"/>
      </w:tabs>
      <w:spacing w:before="0" w:after="0"/>
    </w:pPr>
  </w:style>
  <w:style w:type="character" w:customStyle="1" w:styleId="ZhlavChar">
    <w:name w:val="Záhlaví Char"/>
    <w:basedOn w:val="Standardnpsmoodstavce"/>
    <w:link w:val="Zhlav"/>
    <w:uiPriority w:val="99"/>
    <w:rsid w:val="0001507A"/>
    <w:rPr>
      <w:rFonts w:ascii="Garamond" w:hAnsi="Garamond"/>
      <w:sz w:val="24"/>
      <w:szCs w:val="22"/>
      <w:lang w:eastAsia="en-US"/>
    </w:rPr>
  </w:style>
  <w:style w:type="table" w:styleId="Svtlstnovn">
    <w:name w:val="Light Shading"/>
    <w:basedOn w:val="Normlntabulka"/>
    <w:uiPriority w:val="60"/>
    <w:rsid w:val="001E6ED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Obsah1">
    <w:name w:val="toc 1"/>
    <w:basedOn w:val="Normln"/>
    <w:next w:val="Normln"/>
    <w:autoRedefine/>
    <w:uiPriority w:val="39"/>
    <w:unhideWhenUsed/>
    <w:rsid w:val="006E360A"/>
    <w:pPr>
      <w:spacing w:after="100"/>
    </w:pPr>
  </w:style>
  <w:style w:type="paragraph" w:styleId="Obsah2">
    <w:name w:val="toc 2"/>
    <w:basedOn w:val="Normln"/>
    <w:next w:val="Normln"/>
    <w:autoRedefine/>
    <w:uiPriority w:val="39"/>
    <w:unhideWhenUsed/>
    <w:rsid w:val="006E360A"/>
    <w:pPr>
      <w:spacing w:after="100"/>
      <w:ind w:left="240"/>
    </w:pPr>
  </w:style>
  <w:style w:type="paragraph" w:styleId="Obsah3">
    <w:name w:val="toc 3"/>
    <w:basedOn w:val="Normln"/>
    <w:next w:val="Normln"/>
    <w:autoRedefine/>
    <w:uiPriority w:val="39"/>
    <w:unhideWhenUsed/>
    <w:rsid w:val="006E360A"/>
    <w:pPr>
      <w:spacing w:after="100"/>
      <w:ind w:left="480"/>
    </w:pPr>
  </w:style>
  <w:style w:type="character" w:customStyle="1" w:styleId="apple-converted-space">
    <w:name w:val="apple-converted-space"/>
    <w:basedOn w:val="Standardnpsmoodstavce"/>
    <w:rsid w:val="00F4490D"/>
  </w:style>
</w:styles>
</file>

<file path=word/webSettings.xml><?xml version="1.0" encoding="utf-8"?>
<w:webSettings xmlns:r="http://schemas.openxmlformats.org/officeDocument/2006/relationships" xmlns:w="http://schemas.openxmlformats.org/wordprocessingml/2006/main">
  <w:divs>
    <w:div w:id="136261356">
      <w:bodyDiv w:val="1"/>
      <w:marLeft w:val="0"/>
      <w:marRight w:val="0"/>
      <w:marTop w:val="0"/>
      <w:marBottom w:val="0"/>
      <w:divBdr>
        <w:top w:val="none" w:sz="0" w:space="0" w:color="auto"/>
        <w:left w:val="none" w:sz="0" w:space="0" w:color="auto"/>
        <w:bottom w:val="none" w:sz="0" w:space="0" w:color="auto"/>
        <w:right w:val="none" w:sz="0" w:space="0" w:color="auto"/>
      </w:divBdr>
    </w:div>
    <w:div w:id="788935532">
      <w:bodyDiv w:val="1"/>
      <w:marLeft w:val="0"/>
      <w:marRight w:val="0"/>
      <w:marTop w:val="0"/>
      <w:marBottom w:val="0"/>
      <w:divBdr>
        <w:top w:val="none" w:sz="0" w:space="0" w:color="auto"/>
        <w:left w:val="none" w:sz="0" w:space="0" w:color="auto"/>
        <w:bottom w:val="none" w:sz="0" w:space="0" w:color="auto"/>
        <w:right w:val="none" w:sz="0" w:space="0" w:color="auto"/>
      </w:divBdr>
    </w:div>
    <w:div w:id="882867324">
      <w:bodyDiv w:val="1"/>
      <w:marLeft w:val="0"/>
      <w:marRight w:val="0"/>
      <w:marTop w:val="0"/>
      <w:marBottom w:val="0"/>
      <w:divBdr>
        <w:top w:val="none" w:sz="0" w:space="0" w:color="auto"/>
        <w:left w:val="none" w:sz="0" w:space="0" w:color="auto"/>
        <w:bottom w:val="none" w:sz="0" w:space="0" w:color="auto"/>
        <w:right w:val="none" w:sz="0" w:space="0" w:color="auto"/>
      </w:divBdr>
    </w:div>
    <w:div w:id="1643386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8.jpeg"/><Relationship Id="rId26" Type="http://schemas.openxmlformats.org/officeDocument/2006/relationships/image" Target="media/image16.emf"/><Relationship Id="rId39" Type="http://schemas.openxmlformats.org/officeDocument/2006/relationships/hyperlink" Target="http://www.nsp.cz" TargetMode="External"/><Relationship Id="rId21" Type="http://schemas.openxmlformats.org/officeDocument/2006/relationships/image" Target="media/image11.jpeg"/><Relationship Id="rId34" Type="http://schemas.openxmlformats.org/officeDocument/2006/relationships/chart" Target="charts/chart5.xml"/><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image" Target="media/image37.emf"/><Relationship Id="rId63" Type="http://schemas.openxmlformats.org/officeDocument/2006/relationships/image" Target="media/image44.emf"/><Relationship Id="rId68" Type="http://schemas.openxmlformats.org/officeDocument/2006/relationships/image" Target="media/image49.emf"/><Relationship Id="rId76" Type="http://schemas.openxmlformats.org/officeDocument/2006/relationships/image" Target="media/image57.emf"/><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2.emf"/><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chart" Target="charts/chart4.xml"/><Relationship Id="rId11" Type="http://schemas.openxmlformats.org/officeDocument/2006/relationships/image" Target="media/image3.emf"/><Relationship Id="rId24" Type="http://schemas.openxmlformats.org/officeDocument/2006/relationships/image" Target="media/image14.emf"/><Relationship Id="rId32" Type="http://schemas.openxmlformats.org/officeDocument/2006/relationships/image" Target="media/image19.emf"/><Relationship Id="rId37" Type="http://schemas.openxmlformats.org/officeDocument/2006/relationships/image" Target="media/image21.png"/><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image" Target="media/image35.emf"/><Relationship Id="rId58" Type="http://schemas.openxmlformats.org/officeDocument/2006/relationships/image" Target="media/image40.emf"/><Relationship Id="rId66" Type="http://schemas.openxmlformats.org/officeDocument/2006/relationships/image" Target="media/image47.emf"/><Relationship Id="rId74" Type="http://schemas.openxmlformats.org/officeDocument/2006/relationships/image" Target="media/image55.emf"/><Relationship Id="rId79" Type="http://schemas.openxmlformats.org/officeDocument/2006/relationships/image" Target="media/image60.emf"/><Relationship Id="rId5" Type="http://schemas.openxmlformats.org/officeDocument/2006/relationships/webSettings" Target="webSettings.xml"/><Relationship Id="rId61" Type="http://schemas.openxmlformats.org/officeDocument/2006/relationships/image" Target="media/image42.emf"/><Relationship Id="rId82" Type="http://schemas.openxmlformats.org/officeDocument/2006/relationships/hyperlink" Target="http://www.vlada.cz/cz/media-centrum/aktualne/nerv-ramec-strategie-konkurenceschopnosti-82538/"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18.emf"/><Relationship Id="rId35" Type="http://schemas.openxmlformats.org/officeDocument/2006/relationships/chart" Target="charts/chart6.xml"/><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image" Target="media/image38.emf"/><Relationship Id="rId64" Type="http://schemas.openxmlformats.org/officeDocument/2006/relationships/image" Target="media/image45.emf"/><Relationship Id="rId69" Type="http://schemas.openxmlformats.org/officeDocument/2006/relationships/image" Target="media/image50.emf"/><Relationship Id="rId77" Type="http://schemas.openxmlformats.org/officeDocument/2006/relationships/image" Target="media/image58.emf"/><Relationship Id="rId8" Type="http://schemas.openxmlformats.org/officeDocument/2006/relationships/image" Target="media/image1.jpeg"/><Relationship Id="rId51" Type="http://schemas.openxmlformats.org/officeDocument/2006/relationships/image" Target="media/image33.emf"/><Relationship Id="rId72" Type="http://schemas.openxmlformats.org/officeDocument/2006/relationships/image" Target="media/image53.emf"/><Relationship Id="rId80" Type="http://schemas.openxmlformats.org/officeDocument/2006/relationships/image" Target="media/image61.emf"/><Relationship Id="rId85"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0.emf"/><Relationship Id="rId38" Type="http://schemas.openxmlformats.org/officeDocument/2006/relationships/hyperlink" Target="http://www.narodni-kvalifikace.cz" TargetMode="External"/><Relationship Id="rId46" Type="http://schemas.openxmlformats.org/officeDocument/2006/relationships/image" Target="media/image28.emf"/><Relationship Id="rId59" Type="http://schemas.openxmlformats.org/officeDocument/2006/relationships/hyperlink" Target="http://www.oecd.org/sti/40781696.pdf" TargetMode="External"/><Relationship Id="rId67" Type="http://schemas.openxmlformats.org/officeDocument/2006/relationships/image" Target="media/image48.emf"/><Relationship Id="rId20" Type="http://schemas.openxmlformats.org/officeDocument/2006/relationships/image" Target="media/image10.gif"/><Relationship Id="rId41" Type="http://schemas.openxmlformats.org/officeDocument/2006/relationships/image" Target="media/image23.emf"/><Relationship Id="rId54" Type="http://schemas.openxmlformats.org/officeDocument/2006/relationships/image" Target="media/image36.emf"/><Relationship Id="rId62" Type="http://schemas.openxmlformats.org/officeDocument/2006/relationships/image" Target="media/image43.emf"/><Relationship Id="rId70" Type="http://schemas.openxmlformats.org/officeDocument/2006/relationships/image" Target="media/image51.emf"/><Relationship Id="rId75" Type="http://schemas.openxmlformats.org/officeDocument/2006/relationships/image" Target="media/image56.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13.emf"/><Relationship Id="rId28" Type="http://schemas.openxmlformats.org/officeDocument/2006/relationships/chart" Target="charts/chart3.xml"/><Relationship Id="rId36" Type="http://schemas.openxmlformats.org/officeDocument/2006/relationships/chart" Target="charts/chart7.xml"/><Relationship Id="rId49" Type="http://schemas.openxmlformats.org/officeDocument/2006/relationships/image" Target="media/image31.emf"/><Relationship Id="rId57" Type="http://schemas.openxmlformats.org/officeDocument/2006/relationships/image" Target="media/image39.emf"/><Relationship Id="rId10" Type="http://schemas.openxmlformats.org/officeDocument/2006/relationships/image" Target="media/image2.emf"/><Relationship Id="rId31" Type="http://schemas.openxmlformats.org/officeDocument/2006/relationships/footer" Target="footer2.xml"/><Relationship Id="rId44" Type="http://schemas.openxmlformats.org/officeDocument/2006/relationships/image" Target="media/image26.emf"/><Relationship Id="rId52" Type="http://schemas.openxmlformats.org/officeDocument/2006/relationships/image" Target="media/image34.emf"/><Relationship Id="rId60" Type="http://schemas.openxmlformats.org/officeDocument/2006/relationships/image" Target="media/image41.emf"/><Relationship Id="rId65" Type="http://schemas.openxmlformats.org/officeDocument/2006/relationships/image" Target="media/image46.emf"/><Relationship Id="rId73" Type="http://schemas.openxmlformats.org/officeDocument/2006/relationships/image" Target="media/image54.emf"/><Relationship Id="rId78" Type="http://schemas.openxmlformats.org/officeDocument/2006/relationships/image" Target="media/image59.emf"/><Relationship Id="rId81" Type="http://schemas.openxmlformats.org/officeDocument/2006/relationships/image" Target="media/image62.emf"/></Relationships>
</file>

<file path=word/_rels/footnotes.xml.rels><?xml version="1.0" encoding="UTF-8" standalone="yes"?>
<Relationships xmlns="http://schemas.openxmlformats.org/package/2006/relationships"><Relationship Id="rId8" Type="http://schemas.openxmlformats.org/officeDocument/2006/relationships/hyperlink" Target="http://www.e-senior.cz/www/" TargetMode="External"/><Relationship Id="rId3" Type="http://schemas.openxmlformats.org/officeDocument/2006/relationships/hyperlink" Target="http://www.kellnerfoundation.cz/?page=194" TargetMode="External"/><Relationship Id="rId7" Type="http://schemas.openxmlformats.org/officeDocument/2006/relationships/hyperlink" Target="http://www.jaknainternet.cz/page/1200/internet-a-seniori/" TargetMode="External"/><Relationship Id="rId2" Type="http://schemas.openxmlformats.org/officeDocument/2006/relationships/hyperlink" Target="http://www.iea.nl/icils_2013.html" TargetMode="External"/><Relationship Id="rId1" Type="http://schemas.openxmlformats.org/officeDocument/2006/relationships/hyperlink" Target="http://clanky.rvp.cz/keyword/digit%C3%A1ln%C3%AD%20gramotnost/" TargetMode="External"/><Relationship Id="rId6" Type="http://schemas.openxmlformats.org/officeDocument/2006/relationships/hyperlink" Target="http://www.cnb.cz/cs/spotrebitel/financni_gramotnost/index.html" TargetMode="External"/><Relationship Id="rId5" Type="http://schemas.openxmlformats.org/officeDocument/2006/relationships/hyperlink" Target="http://www.in-generation.com/cs/" TargetMode="External"/><Relationship Id="rId4" Type="http://schemas.openxmlformats.org/officeDocument/2006/relationships/hyperlink" Target="http://www.matematikaschuti.info/" TargetMode="External"/><Relationship Id="rId9" Type="http://schemas.openxmlformats.org/officeDocument/2006/relationships/hyperlink" Target="http://www.helpnet.cz/seniori/weby-pro-seniory"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zivatel\Desktop\Prace\hrub&#225;%20p&#345;idan&#225;%20hodnota%20podle%20NACE.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zivatel\Desktop\Prace\vydaje%20na%20internetovou%20reklamu.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t&#283;j\Documents\TA&#268;R-%20konkurenceschopnost\121107%20MPO-kunkurenceschopnos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at&#283;j\Documents\TA&#268;R-%20konkurenceschopnost\121107%20MPO-kunkurenceschopnos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at&#283;j\Documents\SPIR-internet\statistiky\cloud%20computing.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at&#283;j\Documents\SPIR-internet\statistiky\cloud%20computing.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List_aplikace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bar"/>
        <c:grouping val="clustered"/>
        <c:ser>
          <c:idx val="0"/>
          <c:order val="0"/>
          <c:spPr>
            <a:solidFill>
              <a:srgbClr val="B6B002"/>
            </a:solidFill>
          </c:spPr>
          <c:dPt>
            <c:idx val="8"/>
            <c:spPr>
              <a:solidFill>
                <a:srgbClr val="FF0000"/>
              </a:solidFill>
            </c:spPr>
          </c:dPt>
          <c:dPt>
            <c:idx val="12"/>
            <c:spPr>
              <a:solidFill>
                <a:srgbClr val="FF0000"/>
              </a:solidFill>
            </c:spPr>
          </c:dPt>
          <c:dLbls>
            <c:showVal val="1"/>
          </c:dLbls>
          <c:cat>
            <c:strRef>
              <c:f>Sheet1!$D$29:$D$48</c:f>
              <c:strCache>
                <c:ptCount val="20"/>
                <c:pt idx="0">
                  <c:v>Zpracovatelský průmysl</c:v>
                </c:pt>
                <c:pt idx="1">
                  <c:v>Velkoobchod a maloobchod; opravy a údržba motorových vozidel</c:v>
                </c:pt>
                <c:pt idx="2">
                  <c:v>Činnosti v oblasti nemovitostí</c:v>
                </c:pt>
                <c:pt idx="3">
                  <c:v>Stavebnictví</c:v>
                </c:pt>
                <c:pt idx="4">
                  <c:v>Veřejná správa a obrana; povinné sociální zabezpečení</c:v>
                </c:pt>
                <c:pt idx="5">
                  <c:v>Doprava a skladování</c:v>
                </c:pt>
                <c:pt idx="6">
                  <c:v>Profesní, vědecké a technické činnosti</c:v>
                </c:pt>
                <c:pt idx="7">
                  <c:v>Peněžnictví a pojišťovnictví</c:v>
                </c:pt>
                <c:pt idx="8">
                  <c:v>ICT</c:v>
                </c:pt>
                <c:pt idx="9">
                  <c:v>Zdravotní a sociální péče</c:v>
                </c:pt>
                <c:pt idx="10">
                  <c:v>Vzdělávání</c:v>
                </c:pt>
                <c:pt idx="11">
                  <c:v>Výroba a rozvod elektřiny, plynu, tepla a klimatizovaného vzduchu</c:v>
                </c:pt>
                <c:pt idx="12">
                  <c:v>internetová ekonomika</c:v>
                </c:pt>
                <c:pt idx="13">
                  <c:v>Zemědělství, lesnictví a rybářství</c:v>
                </c:pt>
                <c:pt idx="14">
                  <c:v>Ubytování, stravování a pohostinství</c:v>
                </c:pt>
                <c:pt idx="15">
                  <c:v>Administrativní a podpůrné činnosti</c:v>
                </c:pt>
                <c:pt idx="16">
                  <c:v>Těžba a dobývání</c:v>
                </c:pt>
                <c:pt idx="17">
                  <c:v>Ostatní činnosti</c:v>
                </c:pt>
                <c:pt idx="18">
                  <c:v>Zásobování vodou; činnosti související s odpadními vodami, odpady a sanacemi</c:v>
                </c:pt>
                <c:pt idx="19">
                  <c:v>Kulturní, zábavní a rekreační činnosti</c:v>
                </c:pt>
              </c:strCache>
            </c:strRef>
          </c:cat>
          <c:val>
            <c:numRef>
              <c:f>Sheet1!$E$29:$E$48</c:f>
              <c:numCache>
                <c:formatCode>0.0%</c:formatCode>
                <c:ptCount val="20"/>
                <c:pt idx="0">
                  <c:v>0.239614570042082</c:v>
                </c:pt>
                <c:pt idx="1">
                  <c:v>0.11207923436585993</c:v>
                </c:pt>
                <c:pt idx="2">
                  <c:v>6.7999820001074199E-2</c:v>
                </c:pt>
                <c:pt idx="3">
                  <c:v>6.7916788238522527E-2</c:v>
                </c:pt>
                <c:pt idx="4">
                  <c:v>6.5997767432678739E-2</c:v>
                </c:pt>
                <c:pt idx="5">
                  <c:v>6.162843866899468E-2</c:v>
                </c:pt>
                <c:pt idx="6">
                  <c:v>5.0160765169627232E-2</c:v>
                </c:pt>
                <c:pt idx="7">
                  <c:v>4.8685644940506499E-2</c:v>
                </c:pt>
                <c:pt idx="8">
                  <c:v>4.6596496117684828E-2</c:v>
                </c:pt>
                <c:pt idx="9">
                  <c:v>4.3691836032591434E-2</c:v>
                </c:pt>
                <c:pt idx="10">
                  <c:v>4.2455940182292456E-2</c:v>
                </c:pt>
                <c:pt idx="11">
                  <c:v>3.9755085332555271E-2</c:v>
                </c:pt>
                <c:pt idx="12">
                  <c:v>3.2617547282379714E-2</c:v>
                </c:pt>
                <c:pt idx="13">
                  <c:v>2.3171668169077092E-2</c:v>
                </c:pt>
                <c:pt idx="14">
                  <c:v>1.884588753260678E-2</c:v>
                </c:pt>
                <c:pt idx="15">
                  <c:v>1.7972312100718167E-2</c:v>
                </c:pt>
                <c:pt idx="16">
                  <c:v>1.3432855320057092E-2</c:v>
                </c:pt>
                <c:pt idx="17">
                  <c:v>1.2432990319251319E-2</c:v>
                </c:pt>
                <c:pt idx="18">
                  <c:v>1.2096798777168584E-2</c:v>
                </c:pt>
                <c:pt idx="19">
                  <c:v>1.1908090225913319E-2</c:v>
                </c:pt>
              </c:numCache>
            </c:numRef>
          </c:val>
        </c:ser>
        <c:axId val="100734464"/>
        <c:axId val="100736000"/>
      </c:barChart>
      <c:catAx>
        <c:axId val="100734464"/>
        <c:scaling>
          <c:orientation val="minMax"/>
        </c:scaling>
        <c:axPos val="l"/>
        <c:tickLblPos val="nextTo"/>
        <c:txPr>
          <a:bodyPr/>
          <a:lstStyle/>
          <a:p>
            <a:pPr>
              <a:defRPr sz="800" baseline="0"/>
            </a:pPr>
            <a:endParaRPr lang="cs-CZ"/>
          </a:p>
        </c:txPr>
        <c:crossAx val="100736000"/>
        <c:crosses val="autoZero"/>
        <c:auto val="1"/>
        <c:lblAlgn val="ctr"/>
        <c:lblOffset val="100"/>
      </c:catAx>
      <c:valAx>
        <c:axId val="100736000"/>
        <c:scaling>
          <c:orientation val="minMax"/>
        </c:scaling>
        <c:axPos val="b"/>
        <c:majorGridlines/>
        <c:numFmt formatCode="0.0%" sourceLinked="1"/>
        <c:tickLblPos val="nextTo"/>
        <c:crossAx val="100734464"/>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col"/>
        <c:grouping val="clustered"/>
        <c:ser>
          <c:idx val="0"/>
          <c:order val="0"/>
          <c:tx>
            <c:strRef>
              <c:f>Sheet1!$F$16</c:f>
              <c:strCache>
                <c:ptCount val="1"/>
                <c:pt idx="0">
                  <c:v>2010</c:v>
                </c:pt>
              </c:strCache>
            </c:strRef>
          </c:tx>
          <c:spPr>
            <a:solidFill>
              <a:srgbClr val="7A787D"/>
            </a:solidFill>
          </c:spPr>
          <c:dLbls>
            <c:txPr>
              <a:bodyPr/>
              <a:lstStyle/>
              <a:p>
                <a:pPr>
                  <a:defRPr sz="800"/>
                </a:pPr>
                <a:endParaRPr lang="cs-CZ"/>
              </a:p>
            </c:txPr>
            <c:showVal val="1"/>
          </c:dLbls>
          <c:cat>
            <c:strRef>
              <c:f>Sheet1!$E$17:$E$21</c:f>
              <c:strCache>
                <c:ptCount val="5"/>
                <c:pt idx="0">
                  <c:v>TV</c:v>
                </c:pt>
                <c:pt idx="1">
                  <c:v>Tisk</c:v>
                </c:pt>
                <c:pt idx="2">
                  <c:v>Internet</c:v>
                </c:pt>
                <c:pt idx="3">
                  <c:v>OOH</c:v>
                </c:pt>
                <c:pt idx="4">
                  <c:v>Radio</c:v>
                </c:pt>
              </c:strCache>
            </c:strRef>
          </c:cat>
          <c:val>
            <c:numRef>
              <c:f>Sheet1!$F$17:$F$21</c:f>
              <c:numCache>
                <c:formatCode>0.0</c:formatCode>
                <c:ptCount val="5"/>
                <c:pt idx="0">
                  <c:v>25.587562000000002</c:v>
                </c:pt>
                <c:pt idx="1">
                  <c:v>21.553640999999889</c:v>
                </c:pt>
                <c:pt idx="2">
                  <c:v>7.7164539999999997</c:v>
                </c:pt>
                <c:pt idx="3">
                  <c:v>3.2852890000000001</c:v>
                </c:pt>
                <c:pt idx="4">
                  <c:v>1.2843099999999998</c:v>
                </c:pt>
              </c:numCache>
            </c:numRef>
          </c:val>
        </c:ser>
        <c:ser>
          <c:idx val="1"/>
          <c:order val="1"/>
          <c:tx>
            <c:strRef>
              <c:f>Sheet1!$G$16</c:f>
              <c:strCache>
                <c:ptCount val="1"/>
                <c:pt idx="0">
                  <c:v>2011</c:v>
                </c:pt>
              </c:strCache>
            </c:strRef>
          </c:tx>
          <c:dLbls>
            <c:txPr>
              <a:bodyPr/>
              <a:lstStyle/>
              <a:p>
                <a:pPr>
                  <a:defRPr sz="800"/>
                </a:pPr>
                <a:endParaRPr lang="cs-CZ"/>
              </a:p>
            </c:txPr>
            <c:showVal val="1"/>
          </c:dLbls>
          <c:cat>
            <c:strRef>
              <c:f>Sheet1!$E$17:$E$21</c:f>
              <c:strCache>
                <c:ptCount val="5"/>
                <c:pt idx="0">
                  <c:v>TV</c:v>
                </c:pt>
                <c:pt idx="1">
                  <c:v>Tisk</c:v>
                </c:pt>
                <c:pt idx="2">
                  <c:v>Internet</c:v>
                </c:pt>
                <c:pt idx="3">
                  <c:v>OOH</c:v>
                </c:pt>
                <c:pt idx="4">
                  <c:v>Radio</c:v>
                </c:pt>
              </c:strCache>
            </c:strRef>
          </c:cat>
          <c:val>
            <c:numRef>
              <c:f>Sheet1!$G$17:$G$21</c:f>
              <c:numCache>
                <c:formatCode>0.0</c:formatCode>
                <c:ptCount val="5"/>
                <c:pt idx="0">
                  <c:v>29.162722999999776</c:v>
                </c:pt>
                <c:pt idx="1">
                  <c:v>19.500740999999824</c:v>
                </c:pt>
                <c:pt idx="2">
                  <c:v>8.9004690000000046</c:v>
                </c:pt>
                <c:pt idx="3">
                  <c:v>3.6763600000000003</c:v>
                </c:pt>
                <c:pt idx="4">
                  <c:v>1.1229939999999998</c:v>
                </c:pt>
              </c:numCache>
            </c:numRef>
          </c:val>
        </c:ser>
        <c:ser>
          <c:idx val="2"/>
          <c:order val="2"/>
          <c:tx>
            <c:strRef>
              <c:f>Sheet1!$H$16</c:f>
              <c:strCache>
                <c:ptCount val="1"/>
                <c:pt idx="0">
                  <c:v>2012</c:v>
                </c:pt>
              </c:strCache>
            </c:strRef>
          </c:tx>
          <c:spPr>
            <a:solidFill>
              <a:srgbClr val="B6B002"/>
            </a:solidFill>
          </c:spPr>
          <c:dLbls>
            <c:txPr>
              <a:bodyPr/>
              <a:lstStyle/>
              <a:p>
                <a:pPr>
                  <a:defRPr sz="800"/>
                </a:pPr>
                <a:endParaRPr lang="cs-CZ"/>
              </a:p>
            </c:txPr>
            <c:showVal val="1"/>
          </c:dLbls>
          <c:cat>
            <c:strRef>
              <c:f>Sheet1!$E$17:$E$21</c:f>
              <c:strCache>
                <c:ptCount val="5"/>
                <c:pt idx="0">
                  <c:v>TV</c:v>
                </c:pt>
                <c:pt idx="1">
                  <c:v>Tisk</c:v>
                </c:pt>
                <c:pt idx="2">
                  <c:v>Internet</c:v>
                </c:pt>
                <c:pt idx="3">
                  <c:v>OOH</c:v>
                </c:pt>
                <c:pt idx="4">
                  <c:v>Radio</c:v>
                </c:pt>
              </c:strCache>
            </c:strRef>
          </c:cat>
          <c:val>
            <c:numRef>
              <c:f>Sheet1!$H$17:$H$21</c:f>
              <c:numCache>
                <c:formatCode>0.0</c:formatCode>
                <c:ptCount val="5"/>
                <c:pt idx="0">
                  <c:v>30.126262000000001</c:v>
                </c:pt>
                <c:pt idx="1">
                  <c:v>17.604299999999999</c:v>
                </c:pt>
                <c:pt idx="2">
                  <c:v>11.151399</c:v>
                </c:pt>
                <c:pt idx="3">
                  <c:v>4.0566079999999998</c:v>
                </c:pt>
                <c:pt idx="4">
                  <c:v>0.9896629999999943</c:v>
                </c:pt>
              </c:numCache>
            </c:numRef>
          </c:val>
        </c:ser>
        <c:axId val="100762368"/>
        <c:axId val="100763904"/>
      </c:barChart>
      <c:catAx>
        <c:axId val="100762368"/>
        <c:scaling>
          <c:orientation val="minMax"/>
        </c:scaling>
        <c:axPos val="b"/>
        <c:tickLblPos val="nextTo"/>
        <c:crossAx val="100763904"/>
        <c:crosses val="autoZero"/>
        <c:auto val="1"/>
        <c:lblAlgn val="ctr"/>
        <c:lblOffset val="100"/>
      </c:catAx>
      <c:valAx>
        <c:axId val="100763904"/>
        <c:scaling>
          <c:orientation val="minMax"/>
        </c:scaling>
        <c:axPos val="l"/>
        <c:majorGridlines/>
        <c:numFmt formatCode="0.0" sourceLinked="1"/>
        <c:tickLblPos val="nextTo"/>
        <c:crossAx val="100762368"/>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chart>
    <c:plotArea>
      <c:layout/>
      <c:lineChart>
        <c:grouping val="standard"/>
        <c:ser>
          <c:idx val="0"/>
          <c:order val="0"/>
          <c:tx>
            <c:strRef>
              <c:f>'REER 2012'!$A$11</c:f>
              <c:strCache>
                <c:ptCount val="1"/>
                <c:pt idx="0">
                  <c:v>Eurozóna</c:v>
                </c:pt>
              </c:strCache>
            </c:strRef>
          </c:tx>
          <c:spPr>
            <a:ln>
              <a:solidFill>
                <a:srgbClr val="7A787D"/>
              </a:solidFill>
            </a:ln>
          </c:spPr>
          <c:marker>
            <c:symbol val="none"/>
          </c:marker>
          <c:cat>
            <c:strRef>
              <c:f>'REER 2012'!$B$10:$S$10</c:f>
              <c:strCache>
                <c:ptCount val="18"/>
                <c:pt idx="0">
                  <c:v>2011M07</c:v>
                </c:pt>
                <c:pt idx="1">
                  <c:v>2011M08</c:v>
                </c:pt>
                <c:pt idx="2">
                  <c:v>2011M09</c:v>
                </c:pt>
                <c:pt idx="3">
                  <c:v>2011M10</c:v>
                </c:pt>
                <c:pt idx="4">
                  <c:v>2011M11</c:v>
                </c:pt>
                <c:pt idx="5">
                  <c:v>2011M12</c:v>
                </c:pt>
                <c:pt idx="6">
                  <c:v>2012M01</c:v>
                </c:pt>
                <c:pt idx="7">
                  <c:v>2012M02</c:v>
                </c:pt>
                <c:pt idx="8">
                  <c:v>2012M03</c:v>
                </c:pt>
                <c:pt idx="9">
                  <c:v>2012M04</c:v>
                </c:pt>
                <c:pt idx="10">
                  <c:v>2012M05</c:v>
                </c:pt>
                <c:pt idx="11">
                  <c:v>2012M06</c:v>
                </c:pt>
                <c:pt idx="12">
                  <c:v>2012M07</c:v>
                </c:pt>
                <c:pt idx="13">
                  <c:v>2012M08</c:v>
                </c:pt>
                <c:pt idx="14">
                  <c:v>2012M09</c:v>
                </c:pt>
                <c:pt idx="15">
                  <c:v>2012M10</c:v>
                </c:pt>
                <c:pt idx="16">
                  <c:v>2012M11</c:v>
                </c:pt>
                <c:pt idx="17">
                  <c:v>2012M12</c:v>
                </c:pt>
              </c:strCache>
            </c:strRef>
          </c:cat>
          <c:val>
            <c:numRef>
              <c:f>'REER 2012'!$B$11:$S$11</c:f>
              <c:numCache>
                <c:formatCode>#,##0.00</c:formatCode>
                <c:ptCount val="18"/>
                <c:pt idx="0">
                  <c:v>106.16</c:v>
                </c:pt>
                <c:pt idx="1">
                  <c:v>106.26</c:v>
                </c:pt>
                <c:pt idx="2">
                  <c:v>106.98</c:v>
                </c:pt>
                <c:pt idx="3">
                  <c:v>107.34</c:v>
                </c:pt>
                <c:pt idx="4">
                  <c:v>107.1</c:v>
                </c:pt>
                <c:pt idx="5">
                  <c:v>106.16</c:v>
                </c:pt>
                <c:pt idx="6">
                  <c:v>104.25</c:v>
                </c:pt>
                <c:pt idx="7">
                  <c:v>103.71000000000002</c:v>
                </c:pt>
                <c:pt idx="8">
                  <c:v>104.11999999999999</c:v>
                </c:pt>
                <c:pt idx="9">
                  <c:v>103.47</c:v>
                </c:pt>
                <c:pt idx="10">
                  <c:v>102.99000000000002</c:v>
                </c:pt>
                <c:pt idx="11">
                  <c:v>103.13</c:v>
                </c:pt>
                <c:pt idx="12">
                  <c:v>100.85</c:v>
                </c:pt>
                <c:pt idx="13">
                  <c:v>100.08</c:v>
                </c:pt>
                <c:pt idx="14">
                  <c:v>101.22</c:v>
                </c:pt>
                <c:pt idx="15">
                  <c:v>101.84</c:v>
                </c:pt>
                <c:pt idx="16">
                  <c:v>101.61</c:v>
                </c:pt>
                <c:pt idx="17">
                  <c:v>102.23</c:v>
                </c:pt>
              </c:numCache>
            </c:numRef>
          </c:val>
        </c:ser>
        <c:ser>
          <c:idx val="1"/>
          <c:order val="1"/>
          <c:tx>
            <c:strRef>
              <c:f>'REER 2012'!$A$12</c:f>
              <c:strCache>
                <c:ptCount val="1"/>
                <c:pt idx="0">
                  <c:v>Česká republika</c:v>
                </c:pt>
              </c:strCache>
            </c:strRef>
          </c:tx>
          <c:spPr>
            <a:ln>
              <a:solidFill>
                <a:srgbClr val="FF0000"/>
              </a:solidFill>
            </a:ln>
          </c:spPr>
          <c:marker>
            <c:symbol val="none"/>
          </c:marker>
          <c:cat>
            <c:strRef>
              <c:f>'REER 2012'!$B$10:$S$10</c:f>
              <c:strCache>
                <c:ptCount val="18"/>
                <c:pt idx="0">
                  <c:v>2011M07</c:v>
                </c:pt>
                <c:pt idx="1">
                  <c:v>2011M08</c:v>
                </c:pt>
                <c:pt idx="2">
                  <c:v>2011M09</c:v>
                </c:pt>
                <c:pt idx="3">
                  <c:v>2011M10</c:v>
                </c:pt>
                <c:pt idx="4">
                  <c:v>2011M11</c:v>
                </c:pt>
                <c:pt idx="5">
                  <c:v>2011M12</c:v>
                </c:pt>
                <c:pt idx="6">
                  <c:v>2012M01</c:v>
                </c:pt>
                <c:pt idx="7">
                  <c:v>2012M02</c:v>
                </c:pt>
                <c:pt idx="8">
                  <c:v>2012M03</c:v>
                </c:pt>
                <c:pt idx="9">
                  <c:v>2012M04</c:v>
                </c:pt>
                <c:pt idx="10">
                  <c:v>2012M05</c:v>
                </c:pt>
                <c:pt idx="11">
                  <c:v>2012M06</c:v>
                </c:pt>
                <c:pt idx="12">
                  <c:v>2012M07</c:v>
                </c:pt>
                <c:pt idx="13">
                  <c:v>2012M08</c:v>
                </c:pt>
                <c:pt idx="14">
                  <c:v>2012M09</c:v>
                </c:pt>
                <c:pt idx="15">
                  <c:v>2012M10</c:v>
                </c:pt>
                <c:pt idx="16">
                  <c:v>2012M11</c:v>
                </c:pt>
                <c:pt idx="17">
                  <c:v>2012M12</c:v>
                </c:pt>
              </c:strCache>
            </c:strRef>
          </c:cat>
          <c:val>
            <c:numRef>
              <c:f>'REER 2012'!$B$12:$S$12</c:f>
              <c:numCache>
                <c:formatCode>#,##0.00</c:formatCode>
                <c:ptCount val="18"/>
                <c:pt idx="0">
                  <c:v>126.88</c:v>
                </c:pt>
                <c:pt idx="1">
                  <c:v>127.09</c:v>
                </c:pt>
                <c:pt idx="2">
                  <c:v>125.35</c:v>
                </c:pt>
                <c:pt idx="3">
                  <c:v>124.05</c:v>
                </c:pt>
                <c:pt idx="4">
                  <c:v>121.51</c:v>
                </c:pt>
                <c:pt idx="5">
                  <c:v>121.16999999999999</c:v>
                </c:pt>
                <c:pt idx="6">
                  <c:v>123.41000000000012</c:v>
                </c:pt>
                <c:pt idx="7">
                  <c:v>124.69</c:v>
                </c:pt>
                <c:pt idx="8">
                  <c:v>125.85</c:v>
                </c:pt>
                <c:pt idx="9">
                  <c:v>124.72</c:v>
                </c:pt>
                <c:pt idx="10">
                  <c:v>122.61</c:v>
                </c:pt>
                <c:pt idx="11">
                  <c:v>121.4</c:v>
                </c:pt>
                <c:pt idx="12">
                  <c:v>121.8</c:v>
                </c:pt>
                <c:pt idx="13">
                  <c:v>123.08</c:v>
                </c:pt>
                <c:pt idx="14">
                  <c:v>124.11</c:v>
                </c:pt>
                <c:pt idx="15">
                  <c:v>123.38</c:v>
                </c:pt>
                <c:pt idx="16">
                  <c:v>121.07</c:v>
                </c:pt>
                <c:pt idx="17">
                  <c:v>121.35</c:v>
                </c:pt>
              </c:numCache>
            </c:numRef>
          </c:val>
        </c:ser>
        <c:ser>
          <c:idx val="2"/>
          <c:order val="2"/>
          <c:tx>
            <c:strRef>
              <c:f>'REER 2012'!$A$13</c:f>
              <c:strCache>
                <c:ptCount val="1"/>
                <c:pt idx="0">
                  <c:v>Německo</c:v>
                </c:pt>
              </c:strCache>
            </c:strRef>
          </c:tx>
          <c:spPr>
            <a:ln>
              <a:solidFill>
                <a:srgbClr val="E21EBD"/>
              </a:solidFill>
            </a:ln>
          </c:spPr>
          <c:marker>
            <c:symbol val="none"/>
          </c:marker>
          <c:cat>
            <c:strRef>
              <c:f>'REER 2012'!$B$10:$S$10</c:f>
              <c:strCache>
                <c:ptCount val="18"/>
                <c:pt idx="0">
                  <c:v>2011M07</c:v>
                </c:pt>
                <c:pt idx="1">
                  <c:v>2011M08</c:v>
                </c:pt>
                <c:pt idx="2">
                  <c:v>2011M09</c:v>
                </c:pt>
                <c:pt idx="3">
                  <c:v>2011M10</c:v>
                </c:pt>
                <c:pt idx="4">
                  <c:v>2011M11</c:v>
                </c:pt>
                <c:pt idx="5">
                  <c:v>2011M12</c:v>
                </c:pt>
                <c:pt idx="6">
                  <c:v>2012M01</c:v>
                </c:pt>
                <c:pt idx="7">
                  <c:v>2012M02</c:v>
                </c:pt>
                <c:pt idx="8">
                  <c:v>2012M03</c:v>
                </c:pt>
                <c:pt idx="9">
                  <c:v>2012M04</c:v>
                </c:pt>
                <c:pt idx="10">
                  <c:v>2012M05</c:v>
                </c:pt>
                <c:pt idx="11">
                  <c:v>2012M06</c:v>
                </c:pt>
                <c:pt idx="12">
                  <c:v>2012M07</c:v>
                </c:pt>
                <c:pt idx="13">
                  <c:v>2012M08</c:v>
                </c:pt>
                <c:pt idx="14">
                  <c:v>2012M09</c:v>
                </c:pt>
                <c:pt idx="15">
                  <c:v>2012M10</c:v>
                </c:pt>
                <c:pt idx="16">
                  <c:v>2012M11</c:v>
                </c:pt>
                <c:pt idx="17">
                  <c:v>2012M12</c:v>
                </c:pt>
              </c:strCache>
            </c:strRef>
          </c:cat>
          <c:val>
            <c:numRef>
              <c:f>'REER 2012'!$B$13:$S$13</c:f>
              <c:numCache>
                <c:formatCode>#,##0.00</c:formatCode>
                <c:ptCount val="18"/>
                <c:pt idx="0">
                  <c:v>100.2</c:v>
                </c:pt>
                <c:pt idx="1">
                  <c:v>99.960000000000022</c:v>
                </c:pt>
                <c:pt idx="2">
                  <c:v>99.86</c:v>
                </c:pt>
                <c:pt idx="3">
                  <c:v>99.73</c:v>
                </c:pt>
                <c:pt idx="4">
                  <c:v>99.649999999999991</c:v>
                </c:pt>
                <c:pt idx="5">
                  <c:v>99.92</c:v>
                </c:pt>
                <c:pt idx="6">
                  <c:v>99.48</c:v>
                </c:pt>
                <c:pt idx="7">
                  <c:v>99.42</c:v>
                </c:pt>
                <c:pt idx="8">
                  <c:v>98.710000000000022</c:v>
                </c:pt>
                <c:pt idx="9">
                  <c:v>98.25</c:v>
                </c:pt>
                <c:pt idx="10">
                  <c:v>98.13</c:v>
                </c:pt>
                <c:pt idx="11">
                  <c:v>98.09</c:v>
                </c:pt>
                <c:pt idx="12">
                  <c:v>98.32</c:v>
                </c:pt>
                <c:pt idx="13">
                  <c:v>97.910000000000025</c:v>
                </c:pt>
                <c:pt idx="14">
                  <c:v>97.6</c:v>
                </c:pt>
                <c:pt idx="15">
                  <c:v>97.55</c:v>
                </c:pt>
                <c:pt idx="16">
                  <c:v>97.56</c:v>
                </c:pt>
                <c:pt idx="17">
                  <c:v>98.33</c:v>
                </c:pt>
              </c:numCache>
            </c:numRef>
          </c:val>
        </c:ser>
        <c:ser>
          <c:idx val="3"/>
          <c:order val="3"/>
          <c:tx>
            <c:strRef>
              <c:f>'REER 2012'!$A$14</c:f>
              <c:strCache>
                <c:ptCount val="1"/>
                <c:pt idx="0">
                  <c:v>Řecko</c:v>
                </c:pt>
              </c:strCache>
            </c:strRef>
          </c:tx>
          <c:spPr>
            <a:ln>
              <a:solidFill>
                <a:srgbClr val="FFFF00"/>
              </a:solidFill>
            </a:ln>
          </c:spPr>
          <c:marker>
            <c:symbol val="none"/>
          </c:marker>
          <c:cat>
            <c:strRef>
              <c:f>'REER 2012'!$B$10:$S$10</c:f>
              <c:strCache>
                <c:ptCount val="18"/>
                <c:pt idx="0">
                  <c:v>2011M07</c:v>
                </c:pt>
                <c:pt idx="1">
                  <c:v>2011M08</c:v>
                </c:pt>
                <c:pt idx="2">
                  <c:v>2011M09</c:v>
                </c:pt>
                <c:pt idx="3">
                  <c:v>2011M10</c:v>
                </c:pt>
                <c:pt idx="4">
                  <c:v>2011M11</c:v>
                </c:pt>
                <c:pt idx="5">
                  <c:v>2011M12</c:v>
                </c:pt>
                <c:pt idx="6">
                  <c:v>2012M01</c:v>
                </c:pt>
                <c:pt idx="7">
                  <c:v>2012M02</c:v>
                </c:pt>
                <c:pt idx="8">
                  <c:v>2012M03</c:v>
                </c:pt>
                <c:pt idx="9">
                  <c:v>2012M04</c:v>
                </c:pt>
                <c:pt idx="10">
                  <c:v>2012M05</c:v>
                </c:pt>
                <c:pt idx="11">
                  <c:v>2012M06</c:v>
                </c:pt>
                <c:pt idx="12">
                  <c:v>2012M07</c:v>
                </c:pt>
                <c:pt idx="13">
                  <c:v>2012M08</c:v>
                </c:pt>
                <c:pt idx="14">
                  <c:v>2012M09</c:v>
                </c:pt>
                <c:pt idx="15">
                  <c:v>2012M10</c:v>
                </c:pt>
                <c:pt idx="16">
                  <c:v>2012M11</c:v>
                </c:pt>
                <c:pt idx="17">
                  <c:v>2012M12</c:v>
                </c:pt>
              </c:strCache>
            </c:strRef>
          </c:cat>
          <c:val>
            <c:numRef>
              <c:f>'REER 2012'!$B$14:$S$14</c:f>
              <c:numCache>
                <c:formatCode>#,##0.00</c:formatCode>
                <c:ptCount val="18"/>
                <c:pt idx="0">
                  <c:v>107.55</c:v>
                </c:pt>
                <c:pt idx="1">
                  <c:v>105.82</c:v>
                </c:pt>
                <c:pt idx="2">
                  <c:v>108.98</c:v>
                </c:pt>
                <c:pt idx="3">
                  <c:v>108.79</c:v>
                </c:pt>
                <c:pt idx="4">
                  <c:v>108.92</c:v>
                </c:pt>
                <c:pt idx="5">
                  <c:v>108.16999999999999</c:v>
                </c:pt>
                <c:pt idx="6">
                  <c:v>107.38</c:v>
                </c:pt>
                <c:pt idx="7">
                  <c:v>104.71000000000002</c:v>
                </c:pt>
                <c:pt idx="8">
                  <c:v>106.61999999999999</c:v>
                </c:pt>
                <c:pt idx="9">
                  <c:v>106.91000000000012</c:v>
                </c:pt>
                <c:pt idx="10">
                  <c:v>106.53</c:v>
                </c:pt>
                <c:pt idx="11">
                  <c:v>106.51</c:v>
                </c:pt>
                <c:pt idx="12">
                  <c:v>104.97</c:v>
                </c:pt>
                <c:pt idx="13">
                  <c:v>103.09</c:v>
                </c:pt>
                <c:pt idx="14">
                  <c:v>105.28</c:v>
                </c:pt>
                <c:pt idx="15">
                  <c:v>105.96000000000002</c:v>
                </c:pt>
                <c:pt idx="16">
                  <c:v>105.83</c:v>
                </c:pt>
                <c:pt idx="17">
                  <c:v>105.26</c:v>
                </c:pt>
              </c:numCache>
            </c:numRef>
          </c:val>
        </c:ser>
        <c:ser>
          <c:idx val="4"/>
          <c:order val="4"/>
          <c:tx>
            <c:strRef>
              <c:f>'REER 2012'!$A$15</c:f>
              <c:strCache>
                <c:ptCount val="1"/>
                <c:pt idx="0">
                  <c:v>Maďarsko</c:v>
                </c:pt>
              </c:strCache>
            </c:strRef>
          </c:tx>
          <c:spPr>
            <a:ln>
              <a:solidFill>
                <a:srgbClr val="B6B002"/>
              </a:solidFill>
            </a:ln>
          </c:spPr>
          <c:marker>
            <c:symbol val="none"/>
          </c:marker>
          <c:cat>
            <c:strRef>
              <c:f>'REER 2012'!$B$10:$S$10</c:f>
              <c:strCache>
                <c:ptCount val="18"/>
                <c:pt idx="0">
                  <c:v>2011M07</c:v>
                </c:pt>
                <c:pt idx="1">
                  <c:v>2011M08</c:v>
                </c:pt>
                <c:pt idx="2">
                  <c:v>2011M09</c:v>
                </c:pt>
                <c:pt idx="3">
                  <c:v>2011M10</c:v>
                </c:pt>
                <c:pt idx="4">
                  <c:v>2011M11</c:v>
                </c:pt>
                <c:pt idx="5">
                  <c:v>2011M12</c:v>
                </c:pt>
                <c:pt idx="6">
                  <c:v>2012M01</c:v>
                </c:pt>
                <c:pt idx="7">
                  <c:v>2012M02</c:v>
                </c:pt>
                <c:pt idx="8">
                  <c:v>2012M03</c:v>
                </c:pt>
                <c:pt idx="9">
                  <c:v>2012M04</c:v>
                </c:pt>
                <c:pt idx="10">
                  <c:v>2012M05</c:v>
                </c:pt>
                <c:pt idx="11">
                  <c:v>2012M06</c:v>
                </c:pt>
                <c:pt idx="12">
                  <c:v>2012M07</c:v>
                </c:pt>
                <c:pt idx="13">
                  <c:v>2012M08</c:v>
                </c:pt>
                <c:pt idx="14">
                  <c:v>2012M09</c:v>
                </c:pt>
                <c:pt idx="15">
                  <c:v>2012M10</c:v>
                </c:pt>
                <c:pt idx="16">
                  <c:v>2012M11</c:v>
                </c:pt>
                <c:pt idx="17">
                  <c:v>2012M12</c:v>
                </c:pt>
              </c:strCache>
            </c:strRef>
          </c:cat>
          <c:val>
            <c:numRef>
              <c:f>'REER 2012'!$B$15:$S$15</c:f>
              <c:numCache>
                <c:formatCode>#,##0.00</c:formatCode>
                <c:ptCount val="18"/>
                <c:pt idx="0">
                  <c:v>110.78</c:v>
                </c:pt>
                <c:pt idx="1">
                  <c:v>108.64</c:v>
                </c:pt>
                <c:pt idx="2">
                  <c:v>103.61999999999999</c:v>
                </c:pt>
                <c:pt idx="3">
                  <c:v>99.89</c:v>
                </c:pt>
                <c:pt idx="4">
                  <c:v>96.45</c:v>
                </c:pt>
                <c:pt idx="5">
                  <c:v>97.77</c:v>
                </c:pt>
                <c:pt idx="6">
                  <c:v>99.22</c:v>
                </c:pt>
                <c:pt idx="7">
                  <c:v>104.58</c:v>
                </c:pt>
                <c:pt idx="8">
                  <c:v>103.85</c:v>
                </c:pt>
                <c:pt idx="9">
                  <c:v>103.38</c:v>
                </c:pt>
                <c:pt idx="10">
                  <c:v>103.86999999999999</c:v>
                </c:pt>
                <c:pt idx="11">
                  <c:v>104.13</c:v>
                </c:pt>
                <c:pt idx="12">
                  <c:v>106.49000000000002</c:v>
                </c:pt>
                <c:pt idx="13">
                  <c:v>108.74000000000002</c:v>
                </c:pt>
                <c:pt idx="14">
                  <c:v>106.83</c:v>
                </c:pt>
                <c:pt idx="15">
                  <c:v>107.73</c:v>
                </c:pt>
                <c:pt idx="16">
                  <c:v>107.78</c:v>
                </c:pt>
                <c:pt idx="17">
                  <c:v>106.06</c:v>
                </c:pt>
              </c:numCache>
            </c:numRef>
          </c:val>
        </c:ser>
        <c:ser>
          <c:idx val="5"/>
          <c:order val="5"/>
          <c:tx>
            <c:strRef>
              <c:f>'REER 2012'!$A$16</c:f>
              <c:strCache>
                <c:ptCount val="1"/>
                <c:pt idx="0">
                  <c:v>Polsko</c:v>
                </c:pt>
              </c:strCache>
            </c:strRef>
          </c:tx>
          <c:spPr>
            <a:ln>
              <a:solidFill>
                <a:srgbClr val="002060"/>
              </a:solidFill>
            </a:ln>
          </c:spPr>
          <c:marker>
            <c:symbol val="none"/>
          </c:marker>
          <c:cat>
            <c:strRef>
              <c:f>'REER 2012'!$B$10:$S$10</c:f>
              <c:strCache>
                <c:ptCount val="18"/>
                <c:pt idx="0">
                  <c:v>2011M07</c:v>
                </c:pt>
                <c:pt idx="1">
                  <c:v>2011M08</c:v>
                </c:pt>
                <c:pt idx="2">
                  <c:v>2011M09</c:v>
                </c:pt>
                <c:pt idx="3">
                  <c:v>2011M10</c:v>
                </c:pt>
                <c:pt idx="4">
                  <c:v>2011M11</c:v>
                </c:pt>
                <c:pt idx="5">
                  <c:v>2011M12</c:v>
                </c:pt>
                <c:pt idx="6">
                  <c:v>2012M01</c:v>
                </c:pt>
                <c:pt idx="7">
                  <c:v>2012M02</c:v>
                </c:pt>
                <c:pt idx="8">
                  <c:v>2012M03</c:v>
                </c:pt>
                <c:pt idx="9">
                  <c:v>2012M04</c:v>
                </c:pt>
                <c:pt idx="10">
                  <c:v>2012M05</c:v>
                </c:pt>
                <c:pt idx="11">
                  <c:v>2012M06</c:v>
                </c:pt>
                <c:pt idx="12">
                  <c:v>2012M07</c:v>
                </c:pt>
                <c:pt idx="13">
                  <c:v>2012M08</c:v>
                </c:pt>
                <c:pt idx="14">
                  <c:v>2012M09</c:v>
                </c:pt>
                <c:pt idx="15">
                  <c:v>2012M10</c:v>
                </c:pt>
                <c:pt idx="16">
                  <c:v>2012M11</c:v>
                </c:pt>
                <c:pt idx="17">
                  <c:v>2012M12</c:v>
                </c:pt>
              </c:strCache>
            </c:strRef>
          </c:cat>
          <c:val>
            <c:numRef>
              <c:f>'REER 2012'!$B$16:$S$16</c:f>
              <c:numCache>
                <c:formatCode>#,##0.00</c:formatCode>
                <c:ptCount val="18"/>
                <c:pt idx="0">
                  <c:v>107.29</c:v>
                </c:pt>
                <c:pt idx="1">
                  <c:v>103.82</c:v>
                </c:pt>
                <c:pt idx="2">
                  <c:v>98.179999999999978</c:v>
                </c:pt>
                <c:pt idx="3">
                  <c:v>98.440000000000026</c:v>
                </c:pt>
                <c:pt idx="4">
                  <c:v>97.35</c:v>
                </c:pt>
                <c:pt idx="5">
                  <c:v>96.3</c:v>
                </c:pt>
                <c:pt idx="6">
                  <c:v>99.38</c:v>
                </c:pt>
                <c:pt idx="7">
                  <c:v>103.52</c:v>
                </c:pt>
                <c:pt idx="8">
                  <c:v>104.25</c:v>
                </c:pt>
                <c:pt idx="9">
                  <c:v>103.36999999999999</c:v>
                </c:pt>
                <c:pt idx="10">
                  <c:v>100.77</c:v>
                </c:pt>
                <c:pt idx="11">
                  <c:v>101.13</c:v>
                </c:pt>
                <c:pt idx="12">
                  <c:v>103.2</c:v>
                </c:pt>
                <c:pt idx="13">
                  <c:v>104.56</c:v>
                </c:pt>
                <c:pt idx="14">
                  <c:v>103.32</c:v>
                </c:pt>
                <c:pt idx="15">
                  <c:v>104.21000000000002</c:v>
                </c:pt>
                <c:pt idx="16">
                  <c:v>103.86</c:v>
                </c:pt>
                <c:pt idx="17">
                  <c:v>104.47</c:v>
                </c:pt>
              </c:numCache>
            </c:numRef>
          </c:val>
        </c:ser>
        <c:ser>
          <c:idx val="6"/>
          <c:order val="6"/>
          <c:tx>
            <c:strRef>
              <c:f>'REER 2012'!$A$17</c:f>
              <c:strCache>
                <c:ptCount val="1"/>
                <c:pt idx="0">
                  <c:v>Slovensko</c:v>
                </c:pt>
              </c:strCache>
            </c:strRef>
          </c:tx>
          <c:spPr>
            <a:ln>
              <a:solidFill>
                <a:srgbClr val="00B0F0"/>
              </a:solidFill>
            </a:ln>
          </c:spPr>
          <c:marker>
            <c:symbol val="none"/>
          </c:marker>
          <c:cat>
            <c:strRef>
              <c:f>'REER 2012'!$B$10:$S$10</c:f>
              <c:strCache>
                <c:ptCount val="18"/>
                <c:pt idx="0">
                  <c:v>2011M07</c:v>
                </c:pt>
                <c:pt idx="1">
                  <c:v>2011M08</c:v>
                </c:pt>
                <c:pt idx="2">
                  <c:v>2011M09</c:v>
                </c:pt>
                <c:pt idx="3">
                  <c:v>2011M10</c:v>
                </c:pt>
                <c:pt idx="4">
                  <c:v>2011M11</c:v>
                </c:pt>
                <c:pt idx="5">
                  <c:v>2011M12</c:v>
                </c:pt>
                <c:pt idx="6">
                  <c:v>2012M01</c:v>
                </c:pt>
                <c:pt idx="7">
                  <c:v>2012M02</c:v>
                </c:pt>
                <c:pt idx="8">
                  <c:v>2012M03</c:v>
                </c:pt>
                <c:pt idx="9">
                  <c:v>2012M04</c:v>
                </c:pt>
                <c:pt idx="10">
                  <c:v>2012M05</c:v>
                </c:pt>
                <c:pt idx="11">
                  <c:v>2012M06</c:v>
                </c:pt>
                <c:pt idx="12">
                  <c:v>2012M07</c:v>
                </c:pt>
                <c:pt idx="13">
                  <c:v>2012M08</c:v>
                </c:pt>
                <c:pt idx="14">
                  <c:v>2012M09</c:v>
                </c:pt>
                <c:pt idx="15">
                  <c:v>2012M10</c:v>
                </c:pt>
                <c:pt idx="16">
                  <c:v>2012M11</c:v>
                </c:pt>
                <c:pt idx="17">
                  <c:v>2012M12</c:v>
                </c:pt>
              </c:strCache>
            </c:strRef>
          </c:cat>
          <c:val>
            <c:numRef>
              <c:f>'REER 2012'!$B$17:$S$17</c:f>
              <c:numCache>
                <c:formatCode>#,##0.00</c:formatCode>
                <c:ptCount val="18"/>
                <c:pt idx="0">
                  <c:v>131.26999999999998</c:v>
                </c:pt>
                <c:pt idx="1">
                  <c:v>131.53</c:v>
                </c:pt>
                <c:pt idx="2">
                  <c:v>132.16</c:v>
                </c:pt>
                <c:pt idx="3">
                  <c:v>132.37</c:v>
                </c:pt>
                <c:pt idx="4">
                  <c:v>133.34</c:v>
                </c:pt>
                <c:pt idx="5">
                  <c:v>132.78</c:v>
                </c:pt>
                <c:pt idx="6">
                  <c:v>134.81</c:v>
                </c:pt>
                <c:pt idx="7">
                  <c:v>133.41999999999999</c:v>
                </c:pt>
                <c:pt idx="8">
                  <c:v>132.47</c:v>
                </c:pt>
                <c:pt idx="9">
                  <c:v>132.41</c:v>
                </c:pt>
                <c:pt idx="10">
                  <c:v>133.02000000000001</c:v>
                </c:pt>
                <c:pt idx="11">
                  <c:v>133.58000000000001</c:v>
                </c:pt>
                <c:pt idx="12">
                  <c:v>133.15</c:v>
                </c:pt>
                <c:pt idx="13">
                  <c:v>132.16</c:v>
                </c:pt>
                <c:pt idx="14">
                  <c:v>132.18</c:v>
                </c:pt>
                <c:pt idx="15">
                  <c:v>132.52000000000001</c:v>
                </c:pt>
                <c:pt idx="16">
                  <c:v>133.01</c:v>
                </c:pt>
                <c:pt idx="17">
                  <c:v>132.41</c:v>
                </c:pt>
              </c:numCache>
            </c:numRef>
          </c:val>
        </c:ser>
        <c:ser>
          <c:idx val="7"/>
          <c:order val="7"/>
          <c:tx>
            <c:strRef>
              <c:f>'REER 2012'!$A$18</c:f>
              <c:strCache>
                <c:ptCount val="1"/>
                <c:pt idx="0">
                  <c:v>Finsko</c:v>
                </c:pt>
              </c:strCache>
            </c:strRef>
          </c:tx>
          <c:spPr>
            <a:ln>
              <a:solidFill>
                <a:srgbClr val="7030A0"/>
              </a:solidFill>
            </a:ln>
          </c:spPr>
          <c:marker>
            <c:symbol val="none"/>
          </c:marker>
          <c:cat>
            <c:strRef>
              <c:f>'REER 2012'!$B$10:$S$10</c:f>
              <c:strCache>
                <c:ptCount val="18"/>
                <c:pt idx="0">
                  <c:v>2011M07</c:v>
                </c:pt>
                <c:pt idx="1">
                  <c:v>2011M08</c:v>
                </c:pt>
                <c:pt idx="2">
                  <c:v>2011M09</c:v>
                </c:pt>
                <c:pt idx="3">
                  <c:v>2011M10</c:v>
                </c:pt>
                <c:pt idx="4">
                  <c:v>2011M11</c:v>
                </c:pt>
                <c:pt idx="5">
                  <c:v>2011M12</c:v>
                </c:pt>
                <c:pt idx="6">
                  <c:v>2012M01</c:v>
                </c:pt>
                <c:pt idx="7">
                  <c:v>2012M02</c:v>
                </c:pt>
                <c:pt idx="8">
                  <c:v>2012M03</c:v>
                </c:pt>
                <c:pt idx="9">
                  <c:v>2012M04</c:v>
                </c:pt>
                <c:pt idx="10">
                  <c:v>2012M05</c:v>
                </c:pt>
                <c:pt idx="11">
                  <c:v>2012M06</c:v>
                </c:pt>
                <c:pt idx="12">
                  <c:v>2012M07</c:v>
                </c:pt>
                <c:pt idx="13">
                  <c:v>2012M08</c:v>
                </c:pt>
                <c:pt idx="14">
                  <c:v>2012M09</c:v>
                </c:pt>
                <c:pt idx="15">
                  <c:v>2012M10</c:v>
                </c:pt>
                <c:pt idx="16">
                  <c:v>2012M11</c:v>
                </c:pt>
                <c:pt idx="17">
                  <c:v>2012M12</c:v>
                </c:pt>
              </c:strCache>
            </c:strRef>
          </c:cat>
          <c:val>
            <c:numRef>
              <c:f>'REER 2012'!$B$18:$S$18</c:f>
              <c:numCache>
                <c:formatCode>#,##0.00</c:formatCode>
                <c:ptCount val="18"/>
                <c:pt idx="0">
                  <c:v>102.39</c:v>
                </c:pt>
                <c:pt idx="1">
                  <c:v>102.46000000000002</c:v>
                </c:pt>
                <c:pt idx="2">
                  <c:v>102.56</c:v>
                </c:pt>
                <c:pt idx="3">
                  <c:v>102.55</c:v>
                </c:pt>
                <c:pt idx="4">
                  <c:v>102.69</c:v>
                </c:pt>
                <c:pt idx="5">
                  <c:v>102.03</c:v>
                </c:pt>
                <c:pt idx="6">
                  <c:v>102.94000000000021</c:v>
                </c:pt>
                <c:pt idx="7">
                  <c:v>102.73</c:v>
                </c:pt>
                <c:pt idx="8">
                  <c:v>102.36</c:v>
                </c:pt>
                <c:pt idx="9">
                  <c:v>102.11999999999999</c:v>
                </c:pt>
                <c:pt idx="10">
                  <c:v>102.21000000000002</c:v>
                </c:pt>
                <c:pt idx="11">
                  <c:v>102.4</c:v>
                </c:pt>
                <c:pt idx="12">
                  <c:v>101.63</c:v>
                </c:pt>
                <c:pt idx="13">
                  <c:v>101.13</c:v>
                </c:pt>
                <c:pt idx="14">
                  <c:v>101.7</c:v>
                </c:pt>
                <c:pt idx="15">
                  <c:v>101.95</c:v>
                </c:pt>
                <c:pt idx="16">
                  <c:v>102.02</c:v>
                </c:pt>
                <c:pt idx="17">
                  <c:v>102.02</c:v>
                </c:pt>
              </c:numCache>
            </c:numRef>
          </c:val>
        </c:ser>
        <c:marker val="1"/>
        <c:axId val="100824576"/>
        <c:axId val="100826112"/>
      </c:lineChart>
      <c:catAx>
        <c:axId val="100824576"/>
        <c:scaling>
          <c:orientation val="minMax"/>
        </c:scaling>
        <c:axPos val="b"/>
        <c:tickLblPos val="nextTo"/>
        <c:crossAx val="100826112"/>
        <c:crosses val="autoZero"/>
        <c:auto val="1"/>
        <c:lblAlgn val="ctr"/>
        <c:lblOffset val="100"/>
      </c:catAx>
      <c:valAx>
        <c:axId val="100826112"/>
        <c:scaling>
          <c:orientation val="minMax"/>
          <c:min val="80"/>
        </c:scaling>
        <c:axPos val="l"/>
        <c:majorGridlines/>
        <c:numFmt formatCode="#,##0.00" sourceLinked="1"/>
        <c:tickLblPos val="nextTo"/>
        <c:crossAx val="100824576"/>
        <c:crosses val="autoZero"/>
        <c:crossBetween val="between"/>
      </c:valAx>
    </c:plotArea>
    <c:legend>
      <c:legendPos val="r"/>
    </c:legend>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cs-CZ"/>
  <c:chart>
    <c:plotArea>
      <c:layout/>
      <c:lineChart>
        <c:grouping val="standard"/>
        <c:ser>
          <c:idx val="0"/>
          <c:order val="0"/>
          <c:tx>
            <c:strRef>
              <c:f>'ULC mezinárodně'!$A$6</c:f>
              <c:strCache>
                <c:ptCount val="1"/>
                <c:pt idx="0">
                  <c:v>EU 27</c:v>
                </c:pt>
              </c:strCache>
            </c:strRef>
          </c:tx>
          <c:marker>
            <c:symbol val="none"/>
          </c:marker>
          <c:cat>
            <c:strRef>
              <c:f>'ULC mezinárodně'!$C$5:$AI$5</c:f>
              <c:strCache>
                <c:ptCount val="33"/>
                <c:pt idx="0">
                  <c:v>2005Q1</c:v>
                </c:pt>
                <c:pt idx="1">
                  <c:v>2005Q2</c:v>
                </c:pt>
                <c:pt idx="2">
                  <c:v>2005Q3</c:v>
                </c:pt>
                <c:pt idx="3">
                  <c:v>2005Q4</c:v>
                </c:pt>
                <c:pt idx="4">
                  <c:v>2006Q1</c:v>
                </c:pt>
                <c:pt idx="5">
                  <c:v>2006Q2</c:v>
                </c:pt>
                <c:pt idx="6">
                  <c:v>2006Q3</c:v>
                </c:pt>
                <c:pt idx="7">
                  <c:v>2006Q4</c:v>
                </c:pt>
                <c:pt idx="8">
                  <c:v>2007Q1</c:v>
                </c:pt>
                <c:pt idx="9">
                  <c:v>2007Q2</c:v>
                </c:pt>
                <c:pt idx="10">
                  <c:v>2007Q3</c:v>
                </c:pt>
                <c:pt idx="11">
                  <c:v>2007Q4</c:v>
                </c:pt>
                <c:pt idx="12">
                  <c:v>2008Q1</c:v>
                </c:pt>
                <c:pt idx="13">
                  <c:v>2008Q2</c:v>
                </c:pt>
                <c:pt idx="14">
                  <c:v>2008Q3</c:v>
                </c:pt>
                <c:pt idx="15">
                  <c:v>2008Q4</c:v>
                </c:pt>
                <c:pt idx="16">
                  <c:v>2009Q1</c:v>
                </c:pt>
                <c:pt idx="17">
                  <c:v>2009Q2</c:v>
                </c:pt>
                <c:pt idx="18">
                  <c:v>2009Q3</c:v>
                </c:pt>
                <c:pt idx="19">
                  <c:v>2009Q4</c:v>
                </c:pt>
                <c:pt idx="20">
                  <c:v>2010Q1</c:v>
                </c:pt>
                <c:pt idx="21">
                  <c:v>2010Q2</c:v>
                </c:pt>
                <c:pt idx="22">
                  <c:v>2010Q3</c:v>
                </c:pt>
                <c:pt idx="23">
                  <c:v>2010Q4</c:v>
                </c:pt>
                <c:pt idx="24">
                  <c:v>2011Q1</c:v>
                </c:pt>
                <c:pt idx="25">
                  <c:v>2011Q2</c:v>
                </c:pt>
                <c:pt idx="26">
                  <c:v>2011Q3</c:v>
                </c:pt>
                <c:pt idx="27">
                  <c:v>2011Q4</c:v>
                </c:pt>
                <c:pt idx="28">
                  <c:v>2012Q1</c:v>
                </c:pt>
                <c:pt idx="29">
                  <c:v>2012Q2</c:v>
                </c:pt>
                <c:pt idx="30">
                  <c:v>2012Q3</c:v>
                </c:pt>
                <c:pt idx="31">
                  <c:v>2012Q4</c:v>
                </c:pt>
                <c:pt idx="32">
                  <c:v>2013Q1</c:v>
                </c:pt>
              </c:strCache>
            </c:strRef>
          </c:cat>
          <c:val>
            <c:numRef>
              <c:f>'ULC mezinárodně'!$C$6:$AI$6</c:f>
              <c:numCache>
                <c:formatCode>#,##0.0</c:formatCode>
                <c:ptCount val="33"/>
                <c:pt idx="0">
                  <c:v>100.4</c:v>
                </c:pt>
                <c:pt idx="1">
                  <c:v>100</c:v>
                </c:pt>
                <c:pt idx="2">
                  <c:v>99.8</c:v>
                </c:pt>
                <c:pt idx="3">
                  <c:v>99.8</c:v>
                </c:pt>
                <c:pt idx="4">
                  <c:v>99.2</c:v>
                </c:pt>
                <c:pt idx="5">
                  <c:v>98.9</c:v>
                </c:pt>
                <c:pt idx="6">
                  <c:v>98.7</c:v>
                </c:pt>
                <c:pt idx="7">
                  <c:v>98.4</c:v>
                </c:pt>
                <c:pt idx="8">
                  <c:v>98</c:v>
                </c:pt>
                <c:pt idx="9">
                  <c:v>98</c:v>
                </c:pt>
                <c:pt idx="10">
                  <c:v>97.8</c:v>
                </c:pt>
                <c:pt idx="11">
                  <c:v>97.9</c:v>
                </c:pt>
                <c:pt idx="12">
                  <c:v>98.2</c:v>
                </c:pt>
                <c:pt idx="13">
                  <c:v>98.4</c:v>
                </c:pt>
                <c:pt idx="14">
                  <c:v>99.1</c:v>
                </c:pt>
                <c:pt idx="15">
                  <c:v>100.4</c:v>
                </c:pt>
                <c:pt idx="16">
                  <c:v>102.4</c:v>
                </c:pt>
                <c:pt idx="17">
                  <c:v>102.6</c:v>
                </c:pt>
                <c:pt idx="18">
                  <c:v>102</c:v>
                </c:pt>
                <c:pt idx="19">
                  <c:v>101.7</c:v>
                </c:pt>
                <c:pt idx="20">
                  <c:v>101.4</c:v>
                </c:pt>
                <c:pt idx="21">
                  <c:v>100.8</c:v>
                </c:pt>
                <c:pt idx="22">
                  <c:v>100.2</c:v>
                </c:pt>
                <c:pt idx="23">
                  <c:v>100.2</c:v>
                </c:pt>
                <c:pt idx="24">
                  <c:v>100</c:v>
                </c:pt>
                <c:pt idx="25">
                  <c:v>100</c:v>
                </c:pt>
                <c:pt idx="26">
                  <c:v>99.6</c:v>
                </c:pt>
                <c:pt idx="27">
                  <c:v>100.2</c:v>
                </c:pt>
                <c:pt idx="28">
                  <c:v>100.4</c:v>
                </c:pt>
                <c:pt idx="29">
                  <c:v>100.5</c:v>
                </c:pt>
                <c:pt idx="30">
                  <c:v>100.4</c:v>
                </c:pt>
                <c:pt idx="31">
                  <c:v>100.6</c:v>
                </c:pt>
              </c:numCache>
            </c:numRef>
          </c:val>
        </c:ser>
        <c:ser>
          <c:idx val="1"/>
          <c:order val="1"/>
          <c:tx>
            <c:strRef>
              <c:f>'ULC mezinárodně'!$A$7</c:f>
              <c:strCache>
                <c:ptCount val="1"/>
                <c:pt idx="0">
                  <c:v>ČR</c:v>
                </c:pt>
              </c:strCache>
            </c:strRef>
          </c:tx>
          <c:marker>
            <c:symbol val="none"/>
          </c:marker>
          <c:cat>
            <c:strRef>
              <c:f>'ULC mezinárodně'!$C$5:$AI$5</c:f>
              <c:strCache>
                <c:ptCount val="33"/>
                <c:pt idx="0">
                  <c:v>2005Q1</c:v>
                </c:pt>
                <c:pt idx="1">
                  <c:v>2005Q2</c:v>
                </c:pt>
                <c:pt idx="2">
                  <c:v>2005Q3</c:v>
                </c:pt>
                <c:pt idx="3">
                  <c:v>2005Q4</c:v>
                </c:pt>
                <c:pt idx="4">
                  <c:v>2006Q1</c:v>
                </c:pt>
                <c:pt idx="5">
                  <c:v>2006Q2</c:v>
                </c:pt>
                <c:pt idx="6">
                  <c:v>2006Q3</c:v>
                </c:pt>
                <c:pt idx="7">
                  <c:v>2006Q4</c:v>
                </c:pt>
                <c:pt idx="8">
                  <c:v>2007Q1</c:v>
                </c:pt>
                <c:pt idx="9">
                  <c:v>2007Q2</c:v>
                </c:pt>
                <c:pt idx="10">
                  <c:v>2007Q3</c:v>
                </c:pt>
                <c:pt idx="11">
                  <c:v>2007Q4</c:v>
                </c:pt>
                <c:pt idx="12">
                  <c:v>2008Q1</c:v>
                </c:pt>
                <c:pt idx="13">
                  <c:v>2008Q2</c:v>
                </c:pt>
                <c:pt idx="14">
                  <c:v>2008Q3</c:v>
                </c:pt>
                <c:pt idx="15">
                  <c:v>2008Q4</c:v>
                </c:pt>
                <c:pt idx="16">
                  <c:v>2009Q1</c:v>
                </c:pt>
                <c:pt idx="17">
                  <c:v>2009Q2</c:v>
                </c:pt>
                <c:pt idx="18">
                  <c:v>2009Q3</c:v>
                </c:pt>
                <c:pt idx="19">
                  <c:v>2009Q4</c:v>
                </c:pt>
                <c:pt idx="20">
                  <c:v>2010Q1</c:v>
                </c:pt>
                <c:pt idx="21">
                  <c:v>2010Q2</c:v>
                </c:pt>
                <c:pt idx="22">
                  <c:v>2010Q3</c:v>
                </c:pt>
                <c:pt idx="23">
                  <c:v>2010Q4</c:v>
                </c:pt>
                <c:pt idx="24">
                  <c:v>2011Q1</c:v>
                </c:pt>
                <c:pt idx="25">
                  <c:v>2011Q2</c:v>
                </c:pt>
                <c:pt idx="26">
                  <c:v>2011Q3</c:v>
                </c:pt>
                <c:pt idx="27">
                  <c:v>2011Q4</c:v>
                </c:pt>
                <c:pt idx="28">
                  <c:v>2012Q1</c:v>
                </c:pt>
                <c:pt idx="29">
                  <c:v>2012Q2</c:v>
                </c:pt>
                <c:pt idx="30">
                  <c:v>2012Q3</c:v>
                </c:pt>
                <c:pt idx="31">
                  <c:v>2012Q4</c:v>
                </c:pt>
                <c:pt idx="32">
                  <c:v>2013Q1</c:v>
                </c:pt>
              </c:strCache>
            </c:strRef>
          </c:cat>
          <c:val>
            <c:numRef>
              <c:f>'ULC mezinárodně'!$C$7:$AI$7</c:f>
              <c:numCache>
                <c:formatCode>#,##0.0</c:formatCode>
                <c:ptCount val="33"/>
                <c:pt idx="0">
                  <c:v>99.2</c:v>
                </c:pt>
                <c:pt idx="1">
                  <c:v>100.3</c:v>
                </c:pt>
                <c:pt idx="2">
                  <c:v>100.8</c:v>
                </c:pt>
                <c:pt idx="3">
                  <c:v>99.7</c:v>
                </c:pt>
                <c:pt idx="4">
                  <c:v>99.8</c:v>
                </c:pt>
                <c:pt idx="5">
                  <c:v>100.4</c:v>
                </c:pt>
                <c:pt idx="6">
                  <c:v>99.3</c:v>
                </c:pt>
                <c:pt idx="7">
                  <c:v>99.3</c:v>
                </c:pt>
                <c:pt idx="8">
                  <c:v>98.4</c:v>
                </c:pt>
                <c:pt idx="9">
                  <c:v>99.7</c:v>
                </c:pt>
                <c:pt idx="10">
                  <c:v>98.8</c:v>
                </c:pt>
                <c:pt idx="11">
                  <c:v>99.3</c:v>
                </c:pt>
                <c:pt idx="12">
                  <c:v>102.3</c:v>
                </c:pt>
                <c:pt idx="13">
                  <c:v>100.7</c:v>
                </c:pt>
                <c:pt idx="14">
                  <c:v>99.2</c:v>
                </c:pt>
                <c:pt idx="15">
                  <c:v>100.5</c:v>
                </c:pt>
                <c:pt idx="16">
                  <c:v>100.5</c:v>
                </c:pt>
                <c:pt idx="17">
                  <c:v>101</c:v>
                </c:pt>
                <c:pt idx="18">
                  <c:v>100</c:v>
                </c:pt>
                <c:pt idx="19">
                  <c:v>100.1</c:v>
                </c:pt>
                <c:pt idx="20">
                  <c:v>101.4</c:v>
                </c:pt>
                <c:pt idx="21">
                  <c:v>100.8</c:v>
                </c:pt>
                <c:pt idx="22">
                  <c:v>102.3</c:v>
                </c:pt>
                <c:pt idx="23">
                  <c:v>102.6</c:v>
                </c:pt>
                <c:pt idx="24">
                  <c:v>103.1</c:v>
                </c:pt>
                <c:pt idx="25">
                  <c:v>103.5</c:v>
                </c:pt>
                <c:pt idx="26">
                  <c:v>103.7</c:v>
                </c:pt>
                <c:pt idx="27">
                  <c:v>102.7</c:v>
                </c:pt>
                <c:pt idx="28">
                  <c:v>104.7</c:v>
                </c:pt>
                <c:pt idx="29">
                  <c:v>104.7</c:v>
                </c:pt>
                <c:pt idx="30">
                  <c:v>104.7</c:v>
                </c:pt>
                <c:pt idx="31">
                  <c:v>105.5</c:v>
                </c:pt>
                <c:pt idx="32">
                  <c:v>104.4</c:v>
                </c:pt>
              </c:numCache>
            </c:numRef>
          </c:val>
        </c:ser>
        <c:ser>
          <c:idx val="2"/>
          <c:order val="2"/>
          <c:tx>
            <c:strRef>
              <c:f>'ULC mezinárodně'!$A$8</c:f>
              <c:strCache>
                <c:ptCount val="1"/>
                <c:pt idx="0">
                  <c:v>Německo</c:v>
                </c:pt>
              </c:strCache>
            </c:strRef>
          </c:tx>
          <c:marker>
            <c:symbol val="none"/>
          </c:marker>
          <c:cat>
            <c:strRef>
              <c:f>'ULC mezinárodně'!$C$5:$AI$5</c:f>
              <c:strCache>
                <c:ptCount val="33"/>
                <c:pt idx="0">
                  <c:v>2005Q1</c:v>
                </c:pt>
                <c:pt idx="1">
                  <c:v>2005Q2</c:v>
                </c:pt>
                <c:pt idx="2">
                  <c:v>2005Q3</c:v>
                </c:pt>
                <c:pt idx="3">
                  <c:v>2005Q4</c:v>
                </c:pt>
                <c:pt idx="4">
                  <c:v>2006Q1</c:v>
                </c:pt>
                <c:pt idx="5">
                  <c:v>2006Q2</c:v>
                </c:pt>
                <c:pt idx="6">
                  <c:v>2006Q3</c:v>
                </c:pt>
                <c:pt idx="7">
                  <c:v>2006Q4</c:v>
                </c:pt>
                <c:pt idx="8">
                  <c:v>2007Q1</c:v>
                </c:pt>
                <c:pt idx="9">
                  <c:v>2007Q2</c:v>
                </c:pt>
                <c:pt idx="10">
                  <c:v>2007Q3</c:v>
                </c:pt>
                <c:pt idx="11">
                  <c:v>2007Q4</c:v>
                </c:pt>
                <c:pt idx="12">
                  <c:v>2008Q1</c:v>
                </c:pt>
                <c:pt idx="13">
                  <c:v>2008Q2</c:v>
                </c:pt>
                <c:pt idx="14">
                  <c:v>2008Q3</c:v>
                </c:pt>
                <c:pt idx="15">
                  <c:v>2008Q4</c:v>
                </c:pt>
                <c:pt idx="16">
                  <c:v>2009Q1</c:v>
                </c:pt>
                <c:pt idx="17">
                  <c:v>2009Q2</c:v>
                </c:pt>
                <c:pt idx="18">
                  <c:v>2009Q3</c:v>
                </c:pt>
                <c:pt idx="19">
                  <c:v>2009Q4</c:v>
                </c:pt>
                <c:pt idx="20">
                  <c:v>2010Q1</c:v>
                </c:pt>
                <c:pt idx="21">
                  <c:v>2010Q2</c:v>
                </c:pt>
                <c:pt idx="22">
                  <c:v>2010Q3</c:v>
                </c:pt>
                <c:pt idx="23">
                  <c:v>2010Q4</c:v>
                </c:pt>
                <c:pt idx="24">
                  <c:v>2011Q1</c:v>
                </c:pt>
                <c:pt idx="25">
                  <c:v>2011Q2</c:v>
                </c:pt>
                <c:pt idx="26">
                  <c:v>2011Q3</c:v>
                </c:pt>
                <c:pt idx="27">
                  <c:v>2011Q4</c:v>
                </c:pt>
                <c:pt idx="28">
                  <c:v>2012Q1</c:v>
                </c:pt>
                <c:pt idx="29">
                  <c:v>2012Q2</c:v>
                </c:pt>
                <c:pt idx="30">
                  <c:v>2012Q3</c:v>
                </c:pt>
                <c:pt idx="31">
                  <c:v>2012Q4</c:v>
                </c:pt>
                <c:pt idx="32">
                  <c:v>2013Q1</c:v>
                </c:pt>
              </c:strCache>
            </c:strRef>
          </c:cat>
          <c:val>
            <c:numRef>
              <c:f>'ULC mezinárodně'!$C$8:$AI$8</c:f>
              <c:numCache>
                <c:formatCode>#,##0.0</c:formatCode>
                <c:ptCount val="33"/>
                <c:pt idx="0">
                  <c:v>101</c:v>
                </c:pt>
                <c:pt idx="1">
                  <c:v>100.4</c:v>
                </c:pt>
                <c:pt idx="2">
                  <c:v>99.4</c:v>
                </c:pt>
                <c:pt idx="3">
                  <c:v>99.2</c:v>
                </c:pt>
                <c:pt idx="4">
                  <c:v>98.5</c:v>
                </c:pt>
                <c:pt idx="5">
                  <c:v>97.5</c:v>
                </c:pt>
                <c:pt idx="6">
                  <c:v>97.5</c:v>
                </c:pt>
                <c:pt idx="7">
                  <c:v>96.3</c:v>
                </c:pt>
                <c:pt idx="8">
                  <c:v>95.3</c:v>
                </c:pt>
                <c:pt idx="9">
                  <c:v>95.3</c:v>
                </c:pt>
                <c:pt idx="10">
                  <c:v>94.7</c:v>
                </c:pt>
                <c:pt idx="11">
                  <c:v>95</c:v>
                </c:pt>
                <c:pt idx="12">
                  <c:v>94.9</c:v>
                </c:pt>
                <c:pt idx="13">
                  <c:v>96</c:v>
                </c:pt>
                <c:pt idx="14">
                  <c:v>96.8</c:v>
                </c:pt>
                <c:pt idx="15">
                  <c:v>99.3</c:v>
                </c:pt>
                <c:pt idx="16">
                  <c:v>102.4</c:v>
                </c:pt>
                <c:pt idx="17">
                  <c:v>101.3</c:v>
                </c:pt>
                <c:pt idx="18">
                  <c:v>100.4</c:v>
                </c:pt>
                <c:pt idx="19">
                  <c:v>99.7</c:v>
                </c:pt>
                <c:pt idx="20">
                  <c:v>99.8</c:v>
                </c:pt>
                <c:pt idx="21">
                  <c:v>98.7</c:v>
                </c:pt>
                <c:pt idx="22">
                  <c:v>98.7</c:v>
                </c:pt>
                <c:pt idx="23">
                  <c:v>98.9</c:v>
                </c:pt>
                <c:pt idx="24">
                  <c:v>99</c:v>
                </c:pt>
                <c:pt idx="25">
                  <c:v>99.5</c:v>
                </c:pt>
                <c:pt idx="26">
                  <c:v>99.4</c:v>
                </c:pt>
                <c:pt idx="27">
                  <c:v>100.2</c:v>
                </c:pt>
                <c:pt idx="28">
                  <c:v>100.1</c:v>
                </c:pt>
                <c:pt idx="29">
                  <c:v>100.7</c:v>
                </c:pt>
                <c:pt idx="30">
                  <c:v>100.7</c:v>
                </c:pt>
                <c:pt idx="31">
                  <c:v>102</c:v>
                </c:pt>
                <c:pt idx="32">
                  <c:v>101.3</c:v>
                </c:pt>
              </c:numCache>
            </c:numRef>
          </c:val>
        </c:ser>
        <c:ser>
          <c:idx val="3"/>
          <c:order val="3"/>
          <c:tx>
            <c:strRef>
              <c:f>'ULC mezinárodně'!$A$9</c:f>
              <c:strCache>
                <c:ptCount val="1"/>
                <c:pt idx="0">
                  <c:v>Maďarsko</c:v>
                </c:pt>
              </c:strCache>
            </c:strRef>
          </c:tx>
          <c:marker>
            <c:symbol val="none"/>
          </c:marker>
          <c:cat>
            <c:strRef>
              <c:f>'ULC mezinárodně'!$C$5:$AI$5</c:f>
              <c:strCache>
                <c:ptCount val="33"/>
                <c:pt idx="0">
                  <c:v>2005Q1</c:v>
                </c:pt>
                <c:pt idx="1">
                  <c:v>2005Q2</c:v>
                </c:pt>
                <c:pt idx="2">
                  <c:v>2005Q3</c:v>
                </c:pt>
                <c:pt idx="3">
                  <c:v>2005Q4</c:v>
                </c:pt>
                <c:pt idx="4">
                  <c:v>2006Q1</c:v>
                </c:pt>
                <c:pt idx="5">
                  <c:v>2006Q2</c:v>
                </c:pt>
                <c:pt idx="6">
                  <c:v>2006Q3</c:v>
                </c:pt>
                <c:pt idx="7">
                  <c:v>2006Q4</c:v>
                </c:pt>
                <c:pt idx="8">
                  <c:v>2007Q1</c:v>
                </c:pt>
                <c:pt idx="9">
                  <c:v>2007Q2</c:v>
                </c:pt>
                <c:pt idx="10">
                  <c:v>2007Q3</c:v>
                </c:pt>
                <c:pt idx="11">
                  <c:v>2007Q4</c:v>
                </c:pt>
                <c:pt idx="12">
                  <c:v>2008Q1</c:v>
                </c:pt>
                <c:pt idx="13">
                  <c:v>2008Q2</c:v>
                </c:pt>
                <c:pt idx="14">
                  <c:v>2008Q3</c:v>
                </c:pt>
                <c:pt idx="15">
                  <c:v>2008Q4</c:v>
                </c:pt>
                <c:pt idx="16">
                  <c:v>2009Q1</c:v>
                </c:pt>
                <c:pt idx="17">
                  <c:v>2009Q2</c:v>
                </c:pt>
                <c:pt idx="18">
                  <c:v>2009Q3</c:v>
                </c:pt>
                <c:pt idx="19">
                  <c:v>2009Q4</c:v>
                </c:pt>
                <c:pt idx="20">
                  <c:v>2010Q1</c:v>
                </c:pt>
                <c:pt idx="21">
                  <c:v>2010Q2</c:v>
                </c:pt>
                <c:pt idx="22">
                  <c:v>2010Q3</c:v>
                </c:pt>
                <c:pt idx="23">
                  <c:v>2010Q4</c:v>
                </c:pt>
                <c:pt idx="24">
                  <c:v>2011Q1</c:v>
                </c:pt>
                <c:pt idx="25">
                  <c:v>2011Q2</c:v>
                </c:pt>
                <c:pt idx="26">
                  <c:v>2011Q3</c:v>
                </c:pt>
                <c:pt idx="27">
                  <c:v>2011Q4</c:v>
                </c:pt>
                <c:pt idx="28">
                  <c:v>2012Q1</c:v>
                </c:pt>
                <c:pt idx="29">
                  <c:v>2012Q2</c:v>
                </c:pt>
                <c:pt idx="30">
                  <c:v>2012Q3</c:v>
                </c:pt>
                <c:pt idx="31">
                  <c:v>2012Q4</c:v>
                </c:pt>
                <c:pt idx="32">
                  <c:v>2013Q1</c:v>
                </c:pt>
              </c:strCache>
            </c:strRef>
          </c:cat>
          <c:val>
            <c:numRef>
              <c:f>'ULC mezinárodně'!$C$9:$AI$9</c:f>
              <c:numCache>
                <c:formatCode>#,##0.0</c:formatCode>
                <c:ptCount val="33"/>
                <c:pt idx="0">
                  <c:v>102.1</c:v>
                </c:pt>
                <c:pt idx="1">
                  <c:v>100.4</c:v>
                </c:pt>
                <c:pt idx="2">
                  <c:v>98.3</c:v>
                </c:pt>
                <c:pt idx="3">
                  <c:v>99.2</c:v>
                </c:pt>
                <c:pt idx="4">
                  <c:v>99</c:v>
                </c:pt>
                <c:pt idx="5">
                  <c:v>96.9</c:v>
                </c:pt>
                <c:pt idx="6">
                  <c:v>97.1</c:v>
                </c:pt>
                <c:pt idx="7">
                  <c:v>99.9</c:v>
                </c:pt>
                <c:pt idx="8">
                  <c:v>98.5</c:v>
                </c:pt>
                <c:pt idx="9">
                  <c:v>99.2</c:v>
                </c:pt>
                <c:pt idx="10">
                  <c:v>99.8</c:v>
                </c:pt>
                <c:pt idx="11">
                  <c:v>98</c:v>
                </c:pt>
                <c:pt idx="12">
                  <c:v>96</c:v>
                </c:pt>
                <c:pt idx="13">
                  <c:v>98.7</c:v>
                </c:pt>
                <c:pt idx="14">
                  <c:v>100</c:v>
                </c:pt>
                <c:pt idx="15">
                  <c:v>99.6</c:v>
                </c:pt>
                <c:pt idx="16">
                  <c:v>99.1</c:v>
                </c:pt>
                <c:pt idx="17">
                  <c:v>98.5</c:v>
                </c:pt>
                <c:pt idx="18">
                  <c:v>96.5</c:v>
                </c:pt>
                <c:pt idx="19">
                  <c:v>95.8</c:v>
                </c:pt>
                <c:pt idx="20">
                  <c:v>96.7</c:v>
                </c:pt>
                <c:pt idx="21">
                  <c:v>93.5</c:v>
                </c:pt>
                <c:pt idx="22">
                  <c:v>93.9</c:v>
                </c:pt>
                <c:pt idx="23">
                  <c:v>93.1</c:v>
                </c:pt>
                <c:pt idx="24">
                  <c:v>93.5</c:v>
                </c:pt>
                <c:pt idx="25">
                  <c:v>93.6</c:v>
                </c:pt>
                <c:pt idx="26">
                  <c:v>93</c:v>
                </c:pt>
                <c:pt idx="27">
                  <c:v>92</c:v>
                </c:pt>
                <c:pt idx="28">
                  <c:v>95.6</c:v>
                </c:pt>
                <c:pt idx="29">
                  <c:v>95.7</c:v>
                </c:pt>
                <c:pt idx="30">
                  <c:v>94.8</c:v>
                </c:pt>
                <c:pt idx="31">
                  <c:v>93.6</c:v>
                </c:pt>
                <c:pt idx="32">
                  <c:v>93</c:v>
                </c:pt>
              </c:numCache>
            </c:numRef>
          </c:val>
        </c:ser>
        <c:ser>
          <c:idx val="4"/>
          <c:order val="4"/>
          <c:tx>
            <c:strRef>
              <c:f>'ULC mezinárodně'!$A$10</c:f>
              <c:strCache>
                <c:ptCount val="1"/>
                <c:pt idx="0">
                  <c:v>Rakousko</c:v>
                </c:pt>
              </c:strCache>
            </c:strRef>
          </c:tx>
          <c:marker>
            <c:symbol val="none"/>
          </c:marker>
          <c:cat>
            <c:strRef>
              <c:f>'ULC mezinárodně'!$C$5:$AI$5</c:f>
              <c:strCache>
                <c:ptCount val="33"/>
                <c:pt idx="0">
                  <c:v>2005Q1</c:v>
                </c:pt>
                <c:pt idx="1">
                  <c:v>2005Q2</c:v>
                </c:pt>
                <c:pt idx="2">
                  <c:v>2005Q3</c:v>
                </c:pt>
                <c:pt idx="3">
                  <c:v>2005Q4</c:v>
                </c:pt>
                <c:pt idx="4">
                  <c:v>2006Q1</c:v>
                </c:pt>
                <c:pt idx="5">
                  <c:v>2006Q2</c:v>
                </c:pt>
                <c:pt idx="6">
                  <c:v>2006Q3</c:v>
                </c:pt>
                <c:pt idx="7">
                  <c:v>2006Q4</c:v>
                </c:pt>
                <c:pt idx="8">
                  <c:v>2007Q1</c:v>
                </c:pt>
                <c:pt idx="9">
                  <c:v>2007Q2</c:v>
                </c:pt>
                <c:pt idx="10">
                  <c:v>2007Q3</c:v>
                </c:pt>
                <c:pt idx="11">
                  <c:v>2007Q4</c:v>
                </c:pt>
                <c:pt idx="12">
                  <c:v>2008Q1</c:v>
                </c:pt>
                <c:pt idx="13">
                  <c:v>2008Q2</c:v>
                </c:pt>
                <c:pt idx="14">
                  <c:v>2008Q3</c:v>
                </c:pt>
                <c:pt idx="15">
                  <c:v>2008Q4</c:v>
                </c:pt>
                <c:pt idx="16">
                  <c:v>2009Q1</c:v>
                </c:pt>
                <c:pt idx="17">
                  <c:v>2009Q2</c:v>
                </c:pt>
                <c:pt idx="18">
                  <c:v>2009Q3</c:v>
                </c:pt>
                <c:pt idx="19">
                  <c:v>2009Q4</c:v>
                </c:pt>
                <c:pt idx="20">
                  <c:v>2010Q1</c:v>
                </c:pt>
                <c:pt idx="21">
                  <c:v>2010Q2</c:v>
                </c:pt>
                <c:pt idx="22">
                  <c:v>2010Q3</c:v>
                </c:pt>
                <c:pt idx="23">
                  <c:v>2010Q4</c:v>
                </c:pt>
                <c:pt idx="24">
                  <c:v>2011Q1</c:v>
                </c:pt>
                <c:pt idx="25">
                  <c:v>2011Q2</c:v>
                </c:pt>
                <c:pt idx="26">
                  <c:v>2011Q3</c:v>
                </c:pt>
                <c:pt idx="27">
                  <c:v>2011Q4</c:v>
                </c:pt>
                <c:pt idx="28">
                  <c:v>2012Q1</c:v>
                </c:pt>
                <c:pt idx="29">
                  <c:v>2012Q2</c:v>
                </c:pt>
                <c:pt idx="30">
                  <c:v>2012Q3</c:v>
                </c:pt>
                <c:pt idx="31">
                  <c:v>2012Q4</c:v>
                </c:pt>
                <c:pt idx="32">
                  <c:v>2013Q1</c:v>
                </c:pt>
              </c:strCache>
            </c:strRef>
          </c:cat>
          <c:val>
            <c:numRef>
              <c:f>'ULC mezinárodně'!$C$10:$AI$10</c:f>
              <c:numCache>
                <c:formatCode>#,##0.0</c:formatCode>
                <c:ptCount val="33"/>
                <c:pt idx="0">
                  <c:v>100.3</c:v>
                </c:pt>
                <c:pt idx="1">
                  <c:v>99.9</c:v>
                </c:pt>
                <c:pt idx="2">
                  <c:v>100</c:v>
                </c:pt>
                <c:pt idx="3">
                  <c:v>99.8</c:v>
                </c:pt>
                <c:pt idx="4">
                  <c:v>99.6</c:v>
                </c:pt>
                <c:pt idx="5">
                  <c:v>99.6</c:v>
                </c:pt>
                <c:pt idx="6">
                  <c:v>99.4</c:v>
                </c:pt>
                <c:pt idx="7">
                  <c:v>98.7</c:v>
                </c:pt>
                <c:pt idx="8">
                  <c:v>98.3</c:v>
                </c:pt>
                <c:pt idx="9">
                  <c:v>98.6</c:v>
                </c:pt>
                <c:pt idx="10">
                  <c:v>98.9</c:v>
                </c:pt>
                <c:pt idx="11">
                  <c:v>98.5</c:v>
                </c:pt>
                <c:pt idx="12">
                  <c:v>98</c:v>
                </c:pt>
                <c:pt idx="13">
                  <c:v>98.6</c:v>
                </c:pt>
                <c:pt idx="14">
                  <c:v>100.2</c:v>
                </c:pt>
                <c:pt idx="15">
                  <c:v>102.3</c:v>
                </c:pt>
                <c:pt idx="16">
                  <c:v>104</c:v>
                </c:pt>
                <c:pt idx="17">
                  <c:v>104.5</c:v>
                </c:pt>
                <c:pt idx="18">
                  <c:v>103.7</c:v>
                </c:pt>
                <c:pt idx="19">
                  <c:v>102.8</c:v>
                </c:pt>
                <c:pt idx="20">
                  <c:v>103</c:v>
                </c:pt>
                <c:pt idx="21">
                  <c:v>102.7</c:v>
                </c:pt>
                <c:pt idx="22">
                  <c:v>101.3</c:v>
                </c:pt>
                <c:pt idx="23">
                  <c:v>100.7</c:v>
                </c:pt>
                <c:pt idx="24">
                  <c:v>100.3</c:v>
                </c:pt>
                <c:pt idx="25">
                  <c:v>100.4</c:v>
                </c:pt>
                <c:pt idx="26">
                  <c:v>100.8</c:v>
                </c:pt>
                <c:pt idx="27">
                  <c:v>101.1</c:v>
                </c:pt>
                <c:pt idx="28">
                  <c:v>101.5</c:v>
                </c:pt>
                <c:pt idx="29">
                  <c:v>101.8</c:v>
                </c:pt>
                <c:pt idx="30">
                  <c:v>102.1</c:v>
                </c:pt>
                <c:pt idx="31">
                  <c:v>102.2</c:v>
                </c:pt>
                <c:pt idx="32">
                  <c:v>102.4</c:v>
                </c:pt>
              </c:numCache>
            </c:numRef>
          </c:val>
        </c:ser>
        <c:ser>
          <c:idx val="5"/>
          <c:order val="5"/>
          <c:tx>
            <c:strRef>
              <c:f>'ULC mezinárodně'!$A$11</c:f>
              <c:strCache>
                <c:ptCount val="1"/>
                <c:pt idx="0">
                  <c:v>Polsko</c:v>
                </c:pt>
              </c:strCache>
            </c:strRef>
          </c:tx>
          <c:marker>
            <c:symbol val="none"/>
          </c:marker>
          <c:cat>
            <c:strRef>
              <c:f>'ULC mezinárodně'!$C$5:$AI$5</c:f>
              <c:strCache>
                <c:ptCount val="33"/>
                <c:pt idx="0">
                  <c:v>2005Q1</c:v>
                </c:pt>
                <c:pt idx="1">
                  <c:v>2005Q2</c:v>
                </c:pt>
                <c:pt idx="2">
                  <c:v>2005Q3</c:v>
                </c:pt>
                <c:pt idx="3">
                  <c:v>2005Q4</c:v>
                </c:pt>
                <c:pt idx="4">
                  <c:v>2006Q1</c:v>
                </c:pt>
                <c:pt idx="5">
                  <c:v>2006Q2</c:v>
                </c:pt>
                <c:pt idx="6">
                  <c:v>2006Q3</c:v>
                </c:pt>
                <c:pt idx="7">
                  <c:v>2006Q4</c:v>
                </c:pt>
                <c:pt idx="8">
                  <c:v>2007Q1</c:v>
                </c:pt>
                <c:pt idx="9">
                  <c:v>2007Q2</c:v>
                </c:pt>
                <c:pt idx="10">
                  <c:v>2007Q3</c:v>
                </c:pt>
                <c:pt idx="11">
                  <c:v>2007Q4</c:v>
                </c:pt>
                <c:pt idx="12">
                  <c:v>2008Q1</c:v>
                </c:pt>
                <c:pt idx="13">
                  <c:v>2008Q2</c:v>
                </c:pt>
                <c:pt idx="14">
                  <c:v>2008Q3</c:v>
                </c:pt>
                <c:pt idx="15">
                  <c:v>2008Q4</c:v>
                </c:pt>
                <c:pt idx="16">
                  <c:v>2009Q1</c:v>
                </c:pt>
                <c:pt idx="17">
                  <c:v>2009Q2</c:v>
                </c:pt>
                <c:pt idx="18">
                  <c:v>2009Q3</c:v>
                </c:pt>
                <c:pt idx="19">
                  <c:v>2009Q4</c:v>
                </c:pt>
                <c:pt idx="20">
                  <c:v>2010Q1</c:v>
                </c:pt>
                <c:pt idx="21">
                  <c:v>2010Q2</c:v>
                </c:pt>
                <c:pt idx="22">
                  <c:v>2010Q3</c:v>
                </c:pt>
                <c:pt idx="23">
                  <c:v>2010Q4</c:v>
                </c:pt>
                <c:pt idx="24">
                  <c:v>2011Q1</c:v>
                </c:pt>
                <c:pt idx="25">
                  <c:v>2011Q2</c:v>
                </c:pt>
                <c:pt idx="26">
                  <c:v>2011Q3</c:v>
                </c:pt>
                <c:pt idx="27">
                  <c:v>2011Q4</c:v>
                </c:pt>
                <c:pt idx="28">
                  <c:v>2012Q1</c:v>
                </c:pt>
                <c:pt idx="29">
                  <c:v>2012Q2</c:v>
                </c:pt>
                <c:pt idx="30">
                  <c:v>2012Q3</c:v>
                </c:pt>
                <c:pt idx="31">
                  <c:v>2012Q4</c:v>
                </c:pt>
                <c:pt idx="32">
                  <c:v>2013Q1</c:v>
                </c:pt>
              </c:strCache>
            </c:strRef>
          </c:cat>
          <c:val>
            <c:numRef>
              <c:f>'ULC mezinárodně'!$C$11:$AI$11</c:f>
              <c:numCache>
                <c:formatCode>#,##0.0</c:formatCode>
                <c:ptCount val="33"/>
                <c:pt idx="0">
                  <c:v>99.3</c:v>
                </c:pt>
                <c:pt idx="1">
                  <c:v>99.6</c:v>
                </c:pt>
                <c:pt idx="2">
                  <c:v>100.2</c:v>
                </c:pt>
                <c:pt idx="3">
                  <c:v>100.9</c:v>
                </c:pt>
                <c:pt idx="4">
                  <c:v>99.3</c:v>
                </c:pt>
                <c:pt idx="5">
                  <c:v>99.4</c:v>
                </c:pt>
                <c:pt idx="6">
                  <c:v>97.2</c:v>
                </c:pt>
                <c:pt idx="7">
                  <c:v>95.6</c:v>
                </c:pt>
                <c:pt idx="8">
                  <c:v>97</c:v>
                </c:pt>
                <c:pt idx="9">
                  <c:v>97.2</c:v>
                </c:pt>
                <c:pt idx="10">
                  <c:v>96.9</c:v>
                </c:pt>
                <c:pt idx="11">
                  <c:v>94.6</c:v>
                </c:pt>
                <c:pt idx="12">
                  <c:v>98.5</c:v>
                </c:pt>
                <c:pt idx="13">
                  <c:v>99.4</c:v>
                </c:pt>
                <c:pt idx="14">
                  <c:v>100</c:v>
                </c:pt>
                <c:pt idx="15">
                  <c:v>103.1</c:v>
                </c:pt>
                <c:pt idx="16">
                  <c:v>100.1</c:v>
                </c:pt>
                <c:pt idx="17">
                  <c:v>99.6</c:v>
                </c:pt>
                <c:pt idx="18">
                  <c:v>99.4</c:v>
                </c:pt>
                <c:pt idx="19">
                  <c:v>97.8</c:v>
                </c:pt>
                <c:pt idx="20">
                  <c:v>100.4</c:v>
                </c:pt>
                <c:pt idx="21">
                  <c:v>98.7</c:v>
                </c:pt>
                <c:pt idx="22">
                  <c:v>98.5</c:v>
                </c:pt>
                <c:pt idx="23">
                  <c:v>98.5</c:v>
                </c:pt>
              </c:numCache>
            </c:numRef>
          </c:val>
        </c:ser>
        <c:ser>
          <c:idx val="6"/>
          <c:order val="6"/>
          <c:tx>
            <c:strRef>
              <c:f>'ULC mezinárodně'!$A$12</c:f>
              <c:strCache>
                <c:ptCount val="1"/>
                <c:pt idx="0">
                  <c:v>Slovensko</c:v>
                </c:pt>
              </c:strCache>
            </c:strRef>
          </c:tx>
          <c:marker>
            <c:symbol val="none"/>
          </c:marker>
          <c:cat>
            <c:strRef>
              <c:f>'ULC mezinárodně'!$C$5:$AI$5</c:f>
              <c:strCache>
                <c:ptCount val="33"/>
                <c:pt idx="0">
                  <c:v>2005Q1</c:v>
                </c:pt>
                <c:pt idx="1">
                  <c:v>2005Q2</c:v>
                </c:pt>
                <c:pt idx="2">
                  <c:v>2005Q3</c:v>
                </c:pt>
                <c:pt idx="3">
                  <c:v>2005Q4</c:v>
                </c:pt>
                <c:pt idx="4">
                  <c:v>2006Q1</c:v>
                </c:pt>
                <c:pt idx="5">
                  <c:v>2006Q2</c:v>
                </c:pt>
                <c:pt idx="6">
                  <c:v>2006Q3</c:v>
                </c:pt>
                <c:pt idx="7">
                  <c:v>2006Q4</c:v>
                </c:pt>
                <c:pt idx="8">
                  <c:v>2007Q1</c:v>
                </c:pt>
                <c:pt idx="9">
                  <c:v>2007Q2</c:v>
                </c:pt>
                <c:pt idx="10">
                  <c:v>2007Q3</c:v>
                </c:pt>
                <c:pt idx="11">
                  <c:v>2007Q4</c:v>
                </c:pt>
                <c:pt idx="12">
                  <c:v>2008Q1</c:v>
                </c:pt>
                <c:pt idx="13">
                  <c:v>2008Q2</c:v>
                </c:pt>
                <c:pt idx="14">
                  <c:v>2008Q3</c:v>
                </c:pt>
                <c:pt idx="15">
                  <c:v>2008Q4</c:v>
                </c:pt>
                <c:pt idx="16">
                  <c:v>2009Q1</c:v>
                </c:pt>
                <c:pt idx="17">
                  <c:v>2009Q2</c:v>
                </c:pt>
                <c:pt idx="18">
                  <c:v>2009Q3</c:v>
                </c:pt>
                <c:pt idx="19">
                  <c:v>2009Q4</c:v>
                </c:pt>
                <c:pt idx="20">
                  <c:v>2010Q1</c:v>
                </c:pt>
                <c:pt idx="21">
                  <c:v>2010Q2</c:v>
                </c:pt>
                <c:pt idx="22">
                  <c:v>2010Q3</c:v>
                </c:pt>
                <c:pt idx="23">
                  <c:v>2010Q4</c:v>
                </c:pt>
                <c:pt idx="24">
                  <c:v>2011Q1</c:v>
                </c:pt>
                <c:pt idx="25">
                  <c:v>2011Q2</c:v>
                </c:pt>
                <c:pt idx="26">
                  <c:v>2011Q3</c:v>
                </c:pt>
                <c:pt idx="27">
                  <c:v>2011Q4</c:v>
                </c:pt>
                <c:pt idx="28">
                  <c:v>2012Q1</c:v>
                </c:pt>
                <c:pt idx="29">
                  <c:v>2012Q2</c:v>
                </c:pt>
                <c:pt idx="30">
                  <c:v>2012Q3</c:v>
                </c:pt>
                <c:pt idx="31">
                  <c:v>2012Q4</c:v>
                </c:pt>
                <c:pt idx="32">
                  <c:v>2013Q1</c:v>
                </c:pt>
              </c:strCache>
            </c:strRef>
          </c:cat>
          <c:val>
            <c:numRef>
              <c:f>'ULC mezinárodně'!$C$12:$AI$12</c:f>
              <c:numCache>
                <c:formatCode>#,##0.0</c:formatCode>
                <c:ptCount val="33"/>
                <c:pt idx="0">
                  <c:v>101</c:v>
                </c:pt>
                <c:pt idx="1">
                  <c:v>99</c:v>
                </c:pt>
                <c:pt idx="2">
                  <c:v>99.2</c:v>
                </c:pt>
                <c:pt idx="3">
                  <c:v>100.7</c:v>
                </c:pt>
                <c:pt idx="4">
                  <c:v>100.5</c:v>
                </c:pt>
                <c:pt idx="5">
                  <c:v>98.2</c:v>
                </c:pt>
                <c:pt idx="6">
                  <c:v>98.5</c:v>
                </c:pt>
                <c:pt idx="7">
                  <c:v>98</c:v>
                </c:pt>
                <c:pt idx="8">
                  <c:v>98.5</c:v>
                </c:pt>
                <c:pt idx="9">
                  <c:v>97.3</c:v>
                </c:pt>
                <c:pt idx="10">
                  <c:v>97.5</c:v>
                </c:pt>
                <c:pt idx="11">
                  <c:v>99.3</c:v>
                </c:pt>
                <c:pt idx="12">
                  <c:v>97.9</c:v>
                </c:pt>
                <c:pt idx="13">
                  <c:v>99.1</c:v>
                </c:pt>
                <c:pt idx="14">
                  <c:v>101.2</c:v>
                </c:pt>
                <c:pt idx="15">
                  <c:v>100.5</c:v>
                </c:pt>
                <c:pt idx="16">
                  <c:v>108.7</c:v>
                </c:pt>
                <c:pt idx="17">
                  <c:v>107.2</c:v>
                </c:pt>
                <c:pt idx="18">
                  <c:v>105.6</c:v>
                </c:pt>
                <c:pt idx="19">
                  <c:v>104.9</c:v>
                </c:pt>
                <c:pt idx="20">
                  <c:v>105.5</c:v>
                </c:pt>
                <c:pt idx="21">
                  <c:v>105.9</c:v>
                </c:pt>
                <c:pt idx="22">
                  <c:v>104.6</c:v>
                </c:pt>
                <c:pt idx="23">
                  <c:v>104.5</c:v>
                </c:pt>
                <c:pt idx="24">
                  <c:v>104.4</c:v>
                </c:pt>
                <c:pt idx="25">
                  <c:v>103.3</c:v>
                </c:pt>
                <c:pt idx="26">
                  <c:v>103.7</c:v>
                </c:pt>
                <c:pt idx="27">
                  <c:v>101</c:v>
                </c:pt>
                <c:pt idx="28">
                  <c:v>101.2</c:v>
                </c:pt>
                <c:pt idx="29">
                  <c:v>102.2</c:v>
                </c:pt>
                <c:pt idx="30">
                  <c:v>101.7</c:v>
                </c:pt>
                <c:pt idx="31">
                  <c:v>101.8</c:v>
                </c:pt>
              </c:numCache>
            </c:numRef>
          </c:val>
        </c:ser>
        <c:ser>
          <c:idx val="7"/>
          <c:order val="7"/>
          <c:tx>
            <c:strRef>
              <c:f>'ULC mezinárodně'!$A$13</c:f>
              <c:strCache>
                <c:ptCount val="1"/>
                <c:pt idx="0">
                  <c:v>Finsko</c:v>
                </c:pt>
              </c:strCache>
            </c:strRef>
          </c:tx>
          <c:marker>
            <c:symbol val="none"/>
          </c:marker>
          <c:cat>
            <c:strRef>
              <c:f>'ULC mezinárodně'!$C$5:$AI$5</c:f>
              <c:strCache>
                <c:ptCount val="33"/>
                <c:pt idx="0">
                  <c:v>2005Q1</c:v>
                </c:pt>
                <c:pt idx="1">
                  <c:v>2005Q2</c:v>
                </c:pt>
                <c:pt idx="2">
                  <c:v>2005Q3</c:v>
                </c:pt>
                <c:pt idx="3">
                  <c:v>2005Q4</c:v>
                </c:pt>
                <c:pt idx="4">
                  <c:v>2006Q1</c:v>
                </c:pt>
                <c:pt idx="5">
                  <c:v>2006Q2</c:v>
                </c:pt>
                <c:pt idx="6">
                  <c:v>2006Q3</c:v>
                </c:pt>
                <c:pt idx="7">
                  <c:v>2006Q4</c:v>
                </c:pt>
                <c:pt idx="8">
                  <c:v>2007Q1</c:v>
                </c:pt>
                <c:pt idx="9">
                  <c:v>2007Q2</c:v>
                </c:pt>
                <c:pt idx="10">
                  <c:v>2007Q3</c:v>
                </c:pt>
                <c:pt idx="11">
                  <c:v>2007Q4</c:v>
                </c:pt>
                <c:pt idx="12">
                  <c:v>2008Q1</c:v>
                </c:pt>
                <c:pt idx="13">
                  <c:v>2008Q2</c:v>
                </c:pt>
                <c:pt idx="14">
                  <c:v>2008Q3</c:v>
                </c:pt>
                <c:pt idx="15">
                  <c:v>2008Q4</c:v>
                </c:pt>
                <c:pt idx="16">
                  <c:v>2009Q1</c:v>
                </c:pt>
                <c:pt idx="17">
                  <c:v>2009Q2</c:v>
                </c:pt>
                <c:pt idx="18">
                  <c:v>2009Q3</c:v>
                </c:pt>
                <c:pt idx="19">
                  <c:v>2009Q4</c:v>
                </c:pt>
                <c:pt idx="20">
                  <c:v>2010Q1</c:v>
                </c:pt>
                <c:pt idx="21">
                  <c:v>2010Q2</c:v>
                </c:pt>
                <c:pt idx="22">
                  <c:v>2010Q3</c:v>
                </c:pt>
                <c:pt idx="23">
                  <c:v>2010Q4</c:v>
                </c:pt>
                <c:pt idx="24">
                  <c:v>2011Q1</c:v>
                </c:pt>
                <c:pt idx="25">
                  <c:v>2011Q2</c:v>
                </c:pt>
                <c:pt idx="26">
                  <c:v>2011Q3</c:v>
                </c:pt>
                <c:pt idx="27">
                  <c:v>2011Q4</c:v>
                </c:pt>
                <c:pt idx="28">
                  <c:v>2012Q1</c:v>
                </c:pt>
                <c:pt idx="29">
                  <c:v>2012Q2</c:v>
                </c:pt>
                <c:pt idx="30">
                  <c:v>2012Q3</c:v>
                </c:pt>
                <c:pt idx="31">
                  <c:v>2012Q4</c:v>
                </c:pt>
                <c:pt idx="32">
                  <c:v>2013Q1</c:v>
                </c:pt>
              </c:strCache>
            </c:strRef>
          </c:cat>
          <c:val>
            <c:numRef>
              <c:f>'ULC mezinárodně'!$C$13:$AI$13</c:f>
              <c:numCache>
                <c:formatCode>#,##0.0</c:formatCode>
                <c:ptCount val="33"/>
                <c:pt idx="0">
                  <c:v>99.1</c:v>
                </c:pt>
                <c:pt idx="1">
                  <c:v>100</c:v>
                </c:pt>
                <c:pt idx="2">
                  <c:v>100.9</c:v>
                </c:pt>
                <c:pt idx="3">
                  <c:v>100.1</c:v>
                </c:pt>
                <c:pt idx="4">
                  <c:v>99.5</c:v>
                </c:pt>
                <c:pt idx="5">
                  <c:v>100</c:v>
                </c:pt>
                <c:pt idx="6">
                  <c:v>99.5</c:v>
                </c:pt>
                <c:pt idx="7">
                  <c:v>98.9</c:v>
                </c:pt>
                <c:pt idx="8">
                  <c:v>97.3</c:v>
                </c:pt>
                <c:pt idx="9">
                  <c:v>97</c:v>
                </c:pt>
                <c:pt idx="10">
                  <c:v>97.1</c:v>
                </c:pt>
                <c:pt idx="11">
                  <c:v>97</c:v>
                </c:pt>
                <c:pt idx="12">
                  <c:v>98.9</c:v>
                </c:pt>
                <c:pt idx="13">
                  <c:v>100.3</c:v>
                </c:pt>
                <c:pt idx="14">
                  <c:v>100.1</c:v>
                </c:pt>
                <c:pt idx="15">
                  <c:v>103.6</c:v>
                </c:pt>
                <c:pt idx="16">
                  <c:v>107.4</c:v>
                </c:pt>
                <c:pt idx="17">
                  <c:v>108.7</c:v>
                </c:pt>
                <c:pt idx="18">
                  <c:v>108.2</c:v>
                </c:pt>
                <c:pt idx="19">
                  <c:v>108.2</c:v>
                </c:pt>
                <c:pt idx="20">
                  <c:v>106.7</c:v>
                </c:pt>
                <c:pt idx="21">
                  <c:v>105.5</c:v>
                </c:pt>
                <c:pt idx="22">
                  <c:v>106.4</c:v>
                </c:pt>
                <c:pt idx="23">
                  <c:v>105.3</c:v>
                </c:pt>
                <c:pt idx="24">
                  <c:v>104.5</c:v>
                </c:pt>
                <c:pt idx="25">
                  <c:v>104.4</c:v>
                </c:pt>
                <c:pt idx="26">
                  <c:v>104.5</c:v>
                </c:pt>
                <c:pt idx="27">
                  <c:v>104.9</c:v>
                </c:pt>
                <c:pt idx="28">
                  <c:v>104.9</c:v>
                </c:pt>
                <c:pt idx="29">
                  <c:v>105.4</c:v>
                </c:pt>
                <c:pt idx="30">
                  <c:v>105.3</c:v>
                </c:pt>
                <c:pt idx="31">
                  <c:v>105.7</c:v>
                </c:pt>
                <c:pt idx="32">
                  <c:v>105.7</c:v>
                </c:pt>
              </c:numCache>
            </c:numRef>
          </c:val>
        </c:ser>
        <c:marker val="1"/>
        <c:axId val="100872192"/>
        <c:axId val="100873728"/>
      </c:lineChart>
      <c:catAx>
        <c:axId val="100872192"/>
        <c:scaling>
          <c:orientation val="minMax"/>
        </c:scaling>
        <c:axPos val="b"/>
        <c:tickLblPos val="nextTo"/>
        <c:crossAx val="100873728"/>
        <c:crosses val="autoZero"/>
        <c:auto val="1"/>
        <c:lblAlgn val="ctr"/>
        <c:lblOffset val="100"/>
      </c:catAx>
      <c:valAx>
        <c:axId val="100873728"/>
        <c:scaling>
          <c:orientation val="minMax"/>
          <c:max val="110"/>
          <c:min val="85"/>
        </c:scaling>
        <c:axPos val="l"/>
        <c:majorGridlines/>
        <c:numFmt formatCode="#,##0.0" sourceLinked="1"/>
        <c:tickLblPos val="nextTo"/>
        <c:crossAx val="100872192"/>
        <c:crosses val="autoZero"/>
        <c:crossBetween val="between"/>
        <c:majorUnit val="5"/>
      </c:valAx>
    </c:plotArea>
    <c:legend>
      <c:legendPos val="r"/>
    </c:legend>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col"/>
        <c:grouping val="clustered"/>
        <c:ser>
          <c:idx val="0"/>
          <c:order val="0"/>
          <c:spPr>
            <a:solidFill>
              <a:srgbClr val="B6B002"/>
            </a:solidFill>
          </c:spPr>
          <c:dPt>
            <c:idx val="10"/>
            <c:spPr>
              <a:solidFill>
                <a:schemeClr val="tx1">
                  <a:lumMod val="50000"/>
                  <a:lumOff val="50000"/>
                </a:schemeClr>
              </a:solidFill>
            </c:spPr>
          </c:dPt>
          <c:dLbls>
            <c:showVal val="1"/>
          </c:dLbls>
          <c:cat>
            <c:strRef>
              <c:f>benchmark!$M$6:$M$18</c:f>
              <c:strCache>
                <c:ptCount val="13"/>
                <c:pt idx="0">
                  <c:v>ČR</c:v>
                </c:pt>
                <c:pt idx="1">
                  <c:v>Francie</c:v>
                </c:pt>
                <c:pt idx="2">
                  <c:v>Bulharsko</c:v>
                </c:pt>
                <c:pt idx="3">
                  <c:v>Řecko</c:v>
                </c:pt>
                <c:pt idx="4">
                  <c:v>Maďarsko</c:v>
                </c:pt>
                <c:pt idx="5">
                  <c:v>Turecko</c:v>
                </c:pt>
                <c:pt idx="6">
                  <c:v>Belgie</c:v>
                </c:pt>
                <c:pt idx="7">
                  <c:v>Švýcarsko</c:v>
                </c:pt>
                <c:pt idx="8">
                  <c:v>Slovensko</c:v>
                </c:pt>
                <c:pt idx="9">
                  <c:v>Polsko</c:v>
                </c:pt>
                <c:pt idx="10">
                  <c:v>Z Evropa</c:v>
                </c:pt>
                <c:pt idx="11">
                  <c:v>Rakousko</c:v>
                </c:pt>
                <c:pt idx="12">
                  <c:v>Německo</c:v>
                </c:pt>
              </c:strCache>
            </c:strRef>
          </c:cat>
          <c:val>
            <c:numRef>
              <c:f>benchmark!$N$6:$N$18</c:f>
              <c:numCache>
                <c:formatCode>General</c:formatCode>
                <c:ptCount val="13"/>
                <c:pt idx="0">
                  <c:v>75</c:v>
                </c:pt>
                <c:pt idx="1">
                  <c:v>69</c:v>
                </c:pt>
                <c:pt idx="2">
                  <c:v>67</c:v>
                </c:pt>
                <c:pt idx="3">
                  <c:v>67</c:v>
                </c:pt>
                <c:pt idx="4">
                  <c:v>66</c:v>
                </c:pt>
                <c:pt idx="5">
                  <c:v>63</c:v>
                </c:pt>
                <c:pt idx="6">
                  <c:v>58</c:v>
                </c:pt>
                <c:pt idx="7">
                  <c:v>58</c:v>
                </c:pt>
                <c:pt idx="8">
                  <c:v>56</c:v>
                </c:pt>
                <c:pt idx="9">
                  <c:v>52</c:v>
                </c:pt>
                <c:pt idx="10">
                  <c:v>45</c:v>
                </c:pt>
                <c:pt idx="11">
                  <c:v>39</c:v>
                </c:pt>
                <c:pt idx="12">
                  <c:v>32</c:v>
                </c:pt>
              </c:numCache>
            </c:numRef>
          </c:val>
        </c:ser>
        <c:axId val="100886016"/>
        <c:axId val="100887552"/>
      </c:barChart>
      <c:catAx>
        <c:axId val="100886016"/>
        <c:scaling>
          <c:orientation val="minMax"/>
        </c:scaling>
        <c:axPos val="b"/>
        <c:tickLblPos val="nextTo"/>
        <c:crossAx val="100887552"/>
        <c:crosses val="autoZero"/>
        <c:auto val="1"/>
        <c:lblAlgn val="ctr"/>
        <c:lblOffset val="100"/>
      </c:catAx>
      <c:valAx>
        <c:axId val="100887552"/>
        <c:scaling>
          <c:orientation val="minMax"/>
          <c:min val="25"/>
        </c:scaling>
        <c:axPos val="l"/>
        <c:majorGridlines/>
        <c:numFmt formatCode="General" sourceLinked="1"/>
        <c:tickLblPos val="nextTo"/>
        <c:spPr>
          <a:ln w="6350"/>
        </c:spPr>
        <c:crossAx val="100886016"/>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col"/>
        <c:grouping val="clustered"/>
        <c:ser>
          <c:idx val="0"/>
          <c:order val="0"/>
          <c:spPr>
            <a:solidFill>
              <a:schemeClr val="bg1">
                <a:lumMod val="50000"/>
              </a:schemeClr>
            </a:solidFill>
          </c:spPr>
          <c:dLbls>
            <c:showVal val="1"/>
          </c:dLbls>
          <c:cat>
            <c:strRef>
              <c:f>využití!$C$5:$C$8</c:f>
              <c:strCache>
                <c:ptCount val="4"/>
                <c:pt idx="0">
                  <c:v>e-mail</c:v>
                </c:pt>
                <c:pt idx="1">
                  <c:v>zálohování dat</c:v>
                </c:pt>
                <c:pt idx="2">
                  <c:v>elektronická výměna dokumentů</c:v>
                </c:pt>
                <c:pt idx="3">
                  <c:v>voice over IP</c:v>
                </c:pt>
              </c:strCache>
            </c:strRef>
          </c:cat>
          <c:val>
            <c:numRef>
              <c:f>využití!$D$5:$D$8</c:f>
              <c:numCache>
                <c:formatCode>General</c:formatCode>
                <c:ptCount val="4"/>
                <c:pt idx="0">
                  <c:v>71</c:v>
                </c:pt>
                <c:pt idx="1">
                  <c:v>38</c:v>
                </c:pt>
                <c:pt idx="2">
                  <c:v>29</c:v>
                </c:pt>
                <c:pt idx="3">
                  <c:v>29</c:v>
                </c:pt>
              </c:numCache>
            </c:numRef>
          </c:val>
        </c:ser>
        <c:axId val="100915456"/>
        <c:axId val="100925440"/>
      </c:barChart>
      <c:catAx>
        <c:axId val="100915456"/>
        <c:scaling>
          <c:orientation val="minMax"/>
        </c:scaling>
        <c:axPos val="b"/>
        <c:tickLblPos val="nextTo"/>
        <c:crossAx val="100925440"/>
        <c:crosses val="autoZero"/>
        <c:auto val="1"/>
        <c:lblAlgn val="ctr"/>
        <c:lblOffset val="100"/>
      </c:catAx>
      <c:valAx>
        <c:axId val="100925440"/>
        <c:scaling>
          <c:orientation val="minMax"/>
        </c:scaling>
        <c:axPos val="l"/>
        <c:majorGridlines/>
        <c:numFmt formatCode="General" sourceLinked="1"/>
        <c:tickLblPos val="nextTo"/>
        <c:crossAx val="100915456"/>
        <c:crosses val="autoZero"/>
        <c:crossBetween val="between"/>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0.31958880139982865"/>
          <c:y val="0.13231627296587928"/>
          <c:w val="0.39035061242344887"/>
          <c:h val="0.68762139107611564"/>
        </c:manualLayout>
      </c:layout>
      <c:radarChart>
        <c:radarStyle val="marker"/>
        <c:ser>
          <c:idx val="0"/>
          <c:order val="0"/>
          <c:tx>
            <c:strRef>
              <c:f>List2!$B$1</c:f>
              <c:strCache>
                <c:ptCount val="1"/>
                <c:pt idx="0">
                  <c:v>Průměr vyspělé země</c:v>
                </c:pt>
              </c:strCache>
            </c:strRef>
          </c:tx>
          <c:cat>
            <c:strRef>
              <c:f>List2!$A$2:$A$11</c:f>
              <c:strCache>
                <c:ptCount val="10"/>
                <c:pt idx="0">
                  <c:v>Politické a regulatorní prostředí</c:v>
                </c:pt>
                <c:pt idx="1">
                  <c:v>Podnikání a prostředí pro inovace</c:v>
                </c:pt>
                <c:pt idx="2">
                  <c:v>Infrastruktura a digitální obsah</c:v>
                </c:pt>
                <c:pt idx="3">
                  <c:v>Ekonomická dostupnost</c:v>
                </c:pt>
                <c:pt idx="4">
                  <c:v>Dovednosti</c:v>
                </c:pt>
                <c:pt idx="5">
                  <c:v>Individuální využívání</c:v>
                </c:pt>
                <c:pt idx="6">
                  <c:v>Podnikatelské využívání</c:v>
                </c:pt>
                <c:pt idx="7">
                  <c:v>Využívání veřejným sektorem</c:v>
                </c:pt>
                <c:pt idx="8">
                  <c:v>Ekonomické dopady</c:v>
                </c:pt>
                <c:pt idx="9">
                  <c:v>Společenské dopady</c:v>
                </c:pt>
              </c:strCache>
            </c:strRef>
          </c:cat>
          <c:val>
            <c:numRef>
              <c:f>List2!$B$2:$B$11</c:f>
              <c:numCache>
                <c:formatCode>General</c:formatCode>
                <c:ptCount val="10"/>
                <c:pt idx="0">
                  <c:v>4.9000000000000004</c:v>
                </c:pt>
                <c:pt idx="1">
                  <c:v>5</c:v>
                </c:pt>
                <c:pt idx="2">
                  <c:v>5.3</c:v>
                </c:pt>
                <c:pt idx="3">
                  <c:v>5.0999999999999996</c:v>
                </c:pt>
                <c:pt idx="4">
                  <c:v>5.8</c:v>
                </c:pt>
                <c:pt idx="5">
                  <c:v>5.6</c:v>
                </c:pt>
                <c:pt idx="6">
                  <c:v>4.8</c:v>
                </c:pt>
                <c:pt idx="7">
                  <c:v>5</c:v>
                </c:pt>
                <c:pt idx="8">
                  <c:v>4.5999999999999996</c:v>
                </c:pt>
                <c:pt idx="9">
                  <c:v>5</c:v>
                </c:pt>
              </c:numCache>
            </c:numRef>
          </c:val>
        </c:ser>
        <c:ser>
          <c:idx val="1"/>
          <c:order val="1"/>
          <c:tx>
            <c:strRef>
              <c:f>List2!$C$1</c:f>
              <c:strCache>
                <c:ptCount val="1"/>
                <c:pt idx="0">
                  <c:v>ČR</c:v>
                </c:pt>
              </c:strCache>
            </c:strRef>
          </c:tx>
          <c:cat>
            <c:strRef>
              <c:f>List2!$A$2:$A$11</c:f>
              <c:strCache>
                <c:ptCount val="10"/>
                <c:pt idx="0">
                  <c:v>Politické a regulatorní prostředí</c:v>
                </c:pt>
                <c:pt idx="1">
                  <c:v>Podnikání a prostředí pro inovace</c:v>
                </c:pt>
                <c:pt idx="2">
                  <c:v>Infrastruktura a digitální obsah</c:v>
                </c:pt>
                <c:pt idx="3">
                  <c:v>Ekonomická dostupnost</c:v>
                </c:pt>
                <c:pt idx="4">
                  <c:v>Dovednosti</c:v>
                </c:pt>
                <c:pt idx="5">
                  <c:v>Individuální využívání</c:v>
                </c:pt>
                <c:pt idx="6">
                  <c:v>Podnikatelské využívání</c:v>
                </c:pt>
                <c:pt idx="7">
                  <c:v>Využívání veřejným sektorem</c:v>
                </c:pt>
                <c:pt idx="8">
                  <c:v>Ekonomické dopady</c:v>
                </c:pt>
                <c:pt idx="9">
                  <c:v>Společenské dopady</c:v>
                </c:pt>
              </c:strCache>
            </c:strRef>
          </c:cat>
          <c:val>
            <c:numRef>
              <c:f>List2!$C$2:$C$11</c:f>
              <c:numCache>
                <c:formatCode>General</c:formatCode>
                <c:ptCount val="10"/>
                <c:pt idx="0">
                  <c:v>4</c:v>
                </c:pt>
                <c:pt idx="1">
                  <c:v>4.2</c:v>
                </c:pt>
                <c:pt idx="2">
                  <c:v>5.9</c:v>
                </c:pt>
                <c:pt idx="3">
                  <c:v>4</c:v>
                </c:pt>
                <c:pt idx="4">
                  <c:v>5.2</c:v>
                </c:pt>
                <c:pt idx="5">
                  <c:v>5</c:v>
                </c:pt>
                <c:pt idx="6">
                  <c:v>3.2</c:v>
                </c:pt>
                <c:pt idx="7">
                  <c:v>3.9</c:v>
                </c:pt>
                <c:pt idx="8">
                  <c:v>3.7</c:v>
                </c:pt>
                <c:pt idx="9">
                  <c:v>4.0999999999999996</c:v>
                </c:pt>
              </c:numCache>
            </c:numRef>
          </c:val>
        </c:ser>
        <c:axId val="100932992"/>
        <c:axId val="100963456"/>
      </c:radarChart>
      <c:catAx>
        <c:axId val="100932992"/>
        <c:scaling>
          <c:orientation val="minMax"/>
        </c:scaling>
        <c:axPos val="b"/>
        <c:majorGridlines/>
        <c:tickLblPos val="nextTo"/>
        <c:crossAx val="100963456"/>
        <c:crosses val="autoZero"/>
        <c:auto val="1"/>
        <c:lblAlgn val="ctr"/>
        <c:lblOffset val="100"/>
      </c:catAx>
      <c:valAx>
        <c:axId val="100963456"/>
        <c:scaling>
          <c:orientation val="minMax"/>
        </c:scaling>
        <c:axPos val="l"/>
        <c:majorGridlines/>
        <c:numFmt formatCode="General" sourceLinked="1"/>
        <c:majorTickMark val="cross"/>
        <c:tickLblPos val="nextTo"/>
        <c:crossAx val="100932992"/>
        <c:crosses val="autoZero"/>
        <c:crossBetween val="between"/>
      </c:valAx>
    </c:plotArea>
    <c:legend>
      <c:legendPos val="b"/>
    </c:legend>
    <c:plotVisOnly val="1"/>
    <c:dispBlanksAs val="gap"/>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D4053D-5BFA-4224-9DC0-FFBAFB4BA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104</Pages>
  <Words>21864</Words>
  <Characters>129004</Characters>
  <Application>Microsoft Office Word</Application>
  <DocSecurity>0</DocSecurity>
  <Lines>1075</Lines>
  <Paragraphs>301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150567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Matěj</dc:creator>
  <cp:lastModifiedBy>Matěj</cp:lastModifiedBy>
  <cp:revision>4</cp:revision>
  <dcterms:created xsi:type="dcterms:W3CDTF">2013-09-26T14:57:00Z</dcterms:created>
  <dcterms:modified xsi:type="dcterms:W3CDTF">2013-09-27T08:16:00Z</dcterms:modified>
</cp:coreProperties>
</file>